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5" w:rsidRPr="00D046A8" w:rsidRDefault="006F1D5C" w:rsidP="006F1D5C">
      <w:pPr>
        <w:pStyle w:val="Heading1"/>
        <w:rPr>
          <w:szCs w:val="24"/>
        </w:rPr>
      </w:pPr>
      <w:r w:rsidRPr="00D046A8">
        <w:rPr>
          <w:szCs w:val="24"/>
        </w:rPr>
        <w:t>Education Overview and Scrutiny Committee</w:t>
      </w:r>
    </w:p>
    <w:p w:rsidR="003E6A45" w:rsidRPr="00D046A8" w:rsidRDefault="003E6A45">
      <w:pPr>
        <w:rPr>
          <w:szCs w:val="24"/>
        </w:rPr>
      </w:pPr>
      <w:r w:rsidRPr="00D046A8">
        <w:rPr>
          <w:szCs w:val="24"/>
        </w:rPr>
        <w:t>Meeting to be held on</w:t>
      </w:r>
      <w:r w:rsidR="00464271">
        <w:rPr>
          <w:szCs w:val="24"/>
        </w:rPr>
        <w:t xml:space="preserve"> Tues</w:t>
      </w:r>
      <w:r w:rsidR="00491A57">
        <w:rPr>
          <w:szCs w:val="24"/>
        </w:rPr>
        <w:t xml:space="preserve">day </w:t>
      </w:r>
      <w:r w:rsidR="00C47BC9">
        <w:rPr>
          <w:szCs w:val="24"/>
        </w:rPr>
        <w:t>21</w:t>
      </w:r>
      <w:r w:rsidR="00650F23" w:rsidRPr="00D046A8">
        <w:rPr>
          <w:szCs w:val="24"/>
        </w:rPr>
        <w:t xml:space="preserve"> </w:t>
      </w:r>
      <w:r w:rsidR="00A325DA">
        <w:rPr>
          <w:szCs w:val="24"/>
        </w:rPr>
        <w:t>July</w:t>
      </w:r>
      <w:r w:rsidR="00491A57">
        <w:rPr>
          <w:szCs w:val="24"/>
        </w:rPr>
        <w:t xml:space="preserve"> </w:t>
      </w:r>
      <w:r w:rsidR="00464271">
        <w:rPr>
          <w:szCs w:val="24"/>
        </w:rPr>
        <w:t>2015</w:t>
      </w:r>
    </w:p>
    <w:p w:rsidR="003E6A45" w:rsidRPr="00D046A8" w:rsidRDefault="003E6A45">
      <w:pPr>
        <w:rPr>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tblGrid>
      <w:tr w:rsidR="003E6A45" w:rsidRPr="00D046A8" w:rsidTr="00345CE1">
        <w:tc>
          <w:tcPr>
            <w:tcW w:w="3543" w:type="dxa"/>
          </w:tcPr>
          <w:p w:rsidR="003E6A45" w:rsidRPr="00345CE1" w:rsidRDefault="003E6A45">
            <w:pPr>
              <w:pStyle w:val="BodyText"/>
              <w:rPr>
                <w:b/>
                <w:szCs w:val="24"/>
              </w:rPr>
            </w:pPr>
            <w:r w:rsidRPr="00345CE1">
              <w:rPr>
                <w:b/>
                <w:szCs w:val="24"/>
              </w:rPr>
              <w:t>Electoral Division affected:</w:t>
            </w:r>
          </w:p>
          <w:p w:rsidR="003E6A45" w:rsidRPr="00345CE1" w:rsidRDefault="006F1D5C">
            <w:pPr>
              <w:rPr>
                <w:szCs w:val="24"/>
                <w:u w:val="single"/>
              </w:rPr>
            </w:pPr>
            <w:r w:rsidRPr="00345CE1">
              <w:rPr>
                <w:szCs w:val="24"/>
              </w:rPr>
              <w:t>All</w:t>
            </w:r>
          </w:p>
        </w:tc>
      </w:tr>
    </w:tbl>
    <w:p w:rsidR="006F1D5C" w:rsidRDefault="006F1D5C">
      <w:pPr>
        <w:rPr>
          <w:b/>
          <w:szCs w:val="24"/>
        </w:rPr>
      </w:pPr>
    </w:p>
    <w:p w:rsidR="00345CE1" w:rsidRPr="00D046A8" w:rsidRDefault="00345CE1">
      <w:pPr>
        <w:rPr>
          <w:b/>
          <w:szCs w:val="24"/>
        </w:rPr>
      </w:pPr>
    </w:p>
    <w:p w:rsidR="006F1D5C" w:rsidRDefault="00F31E36">
      <w:pPr>
        <w:rPr>
          <w:b/>
          <w:szCs w:val="24"/>
        </w:rPr>
      </w:pPr>
      <w:r>
        <w:rPr>
          <w:b/>
          <w:szCs w:val="24"/>
        </w:rPr>
        <w:t xml:space="preserve">The breadth and quality of the </w:t>
      </w:r>
      <w:r w:rsidR="00CB176A">
        <w:rPr>
          <w:b/>
          <w:szCs w:val="24"/>
        </w:rPr>
        <w:t>14-19</w:t>
      </w:r>
      <w:r>
        <w:rPr>
          <w:b/>
          <w:szCs w:val="24"/>
        </w:rPr>
        <w:t xml:space="preserve"> learning offer for young people in Lancashire</w:t>
      </w:r>
    </w:p>
    <w:p w:rsidR="00612E27" w:rsidRPr="00612E27" w:rsidRDefault="00612E27">
      <w:pPr>
        <w:rPr>
          <w:szCs w:val="24"/>
        </w:rPr>
      </w:pPr>
      <w:r w:rsidRPr="00612E27">
        <w:rPr>
          <w:szCs w:val="24"/>
        </w:rPr>
        <w:t>(Appendices A</w:t>
      </w:r>
      <w:r>
        <w:rPr>
          <w:szCs w:val="24"/>
        </w:rPr>
        <w:t xml:space="preserve"> </w:t>
      </w:r>
      <w:r w:rsidRPr="00612E27">
        <w:rPr>
          <w:szCs w:val="24"/>
        </w:rPr>
        <w:t>-</w:t>
      </w:r>
      <w:r>
        <w:rPr>
          <w:szCs w:val="24"/>
        </w:rPr>
        <w:t xml:space="preserve"> </w:t>
      </w:r>
      <w:r w:rsidRPr="00612E27">
        <w:rPr>
          <w:szCs w:val="24"/>
        </w:rPr>
        <w:t>F refer)</w:t>
      </w:r>
    </w:p>
    <w:p w:rsidR="00464271" w:rsidRPr="00D046A8" w:rsidRDefault="00464271">
      <w:pPr>
        <w:rPr>
          <w:b/>
          <w:szCs w:val="24"/>
        </w:rPr>
      </w:pPr>
    </w:p>
    <w:p w:rsidR="003E6A45" w:rsidRPr="00D046A8" w:rsidRDefault="003E6A45">
      <w:pPr>
        <w:rPr>
          <w:szCs w:val="24"/>
        </w:rPr>
      </w:pPr>
      <w:r w:rsidRPr="00D046A8">
        <w:rPr>
          <w:szCs w:val="24"/>
        </w:rPr>
        <w:t>Contact for further information:</w:t>
      </w:r>
    </w:p>
    <w:p w:rsidR="006F1D5C" w:rsidRPr="00D046A8" w:rsidRDefault="006F1D5C">
      <w:pPr>
        <w:rPr>
          <w:szCs w:val="24"/>
        </w:rPr>
      </w:pPr>
      <w:r w:rsidRPr="00D046A8">
        <w:rPr>
          <w:szCs w:val="24"/>
        </w:rPr>
        <w:t>Bob Stott, Director of</w:t>
      </w:r>
      <w:r w:rsidR="00A325DA">
        <w:rPr>
          <w:szCs w:val="24"/>
        </w:rPr>
        <w:t xml:space="preserve"> Children's Services</w:t>
      </w:r>
      <w:r w:rsidRPr="00D046A8">
        <w:rPr>
          <w:szCs w:val="24"/>
        </w:rPr>
        <w:t>.</w:t>
      </w:r>
    </w:p>
    <w:p w:rsidR="006F1D5C" w:rsidRPr="00D046A8" w:rsidRDefault="006F1D5C">
      <w:pPr>
        <w:rPr>
          <w:szCs w:val="24"/>
        </w:rPr>
      </w:pPr>
      <w:r w:rsidRPr="00D046A8">
        <w:rPr>
          <w:szCs w:val="24"/>
        </w:rPr>
        <w:t>01772 531652</w:t>
      </w:r>
    </w:p>
    <w:p w:rsidR="00772BBA" w:rsidRPr="00D046A8" w:rsidRDefault="00612E27">
      <w:pPr>
        <w:rPr>
          <w:szCs w:val="24"/>
        </w:rPr>
      </w:pPr>
      <w:hyperlink r:id="rId8" w:history="1">
        <w:r w:rsidR="003E6752" w:rsidRPr="00D046A8">
          <w:rPr>
            <w:rStyle w:val="Hyperlink"/>
            <w:szCs w:val="24"/>
          </w:rPr>
          <w:t>bob.stott@lancashire.gov.uk</w:t>
        </w:r>
      </w:hyperlink>
    </w:p>
    <w:p w:rsidR="003E6A45" w:rsidRPr="00D046A8" w:rsidRDefault="003E6A45">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rsidRPr="00D046A8">
        <w:tc>
          <w:tcPr>
            <w:tcW w:w="9180" w:type="dxa"/>
          </w:tcPr>
          <w:p w:rsidR="003E6A45" w:rsidRPr="00D046A8" w:rsidRDefault="003E6A45">
            <w:pPr>
              <w:pStyle w:val="Header"/>
              <w:rPr>
                <w:szCs w:val="24"/>
              </w:rPr>
            </w:pPr>
          </w:p>
          <w:p w:rsidR="003E6A45" w:rsidRPr="00D046A8" w:rsidRDefault="003E6A45" w:rsidP="006F1D5C">
            <w:pPr>
              <w:pStyle w:val="Heading6"/>
              <w:rPr>
                <w:rFonts w:ascii="Arial" w:hAnsi="Arial"/>
                <w:szCs w:val="24"/>
              </w:rPr>
            </w:pPr>
            <w:r w:rsidRPr="00D046A8">
              <w:rPr>
                <w:rFonts w:ascii="Arial" w:hAnsi="Arial"/>
                <w:szCs w:val="24"/>
              </w:rPr>
              <w:t>Executive Summary</w:t>
            </w:r>
          </w:p>
          <w:p w:rsidR="006F1D5C" w:rsidRPr="00D046A8" w:rsidRDefault="006F1D5C" w:rsidP="006F1D5C">
            <w:pPr>
              <w:rPr>
                <w:szCs w:val="24"/>
              </w:rPr>
            </w:pPr>
          </w:p>
          <w:p w:rsidR="006F1D5C" w:rsidRPr="00D046A8" w:rsidRDefault="003E6752" w:rsidP="00C34F6E">
            <w:pPr>
              <w:jc w:val="both"/>
              <w:rPr>
                <w:szCs w:val="24"/>
              </w:rPr>
            </w:pPr>
            <w:r w:rsidRPr="00D046A8">
              <w:rPr>
                <w:szCs w:val="24"/>
              </w:rPr>
              <w:t xml:space="preserve">The report </w:t>
            </w:r>
            <w:r w:rsidR="00C34F6E">
              <w:rPr>
                <w:szCs w:val="24"/>
              </w:rPr>
              <w:t xml:space="preserve">provides the background </w:t>
            </w:r>
            <w:r w:rsidR="00464271">
              <w:rPr>
                <w:szCs w:val="24"/>
              </w:rPr>
              <w:t>to the cur</w:t>
            </w:r>
            <w:r w:rsidR="00A325DA">
              <w:rPr>
                <w:szCs w:val="24"/>
              </w:rPr>
              <w:t>rent position regarding the offer of learning that is available to young people aged 14-19</w:t>
            </w:r>
            <w:r w:rsidR="00F31E36">
              <w:rPr>
                <w:szCs w:val="24"/>
              </w:rPr>
              <w:t xml:space="preserve"> in Lancashire</w:t>
            </w:r>
            <w:r w:rsidR="000F092D">
              <w:rPr>
                <w:szCs w:val="24"/>
              </w:rPr>
              <w:t>.</w:t>
            </w:r>
          </w:p>
          <w:p w:rsidR="003E6A45" w:rsidRPr="00D046A8" w:rsidRDefault="003E6A45">
            <w:pPr>
              <w:rPr>
                <w:szCs w:val="24"/>
              </w:rPr>
            </w:pPr>
          </w:p>
          <w:p w:rsidR="003E6A45" w:rsidRPr="00D046A8" w:rsidRDefault="003E6A45">
            <w:pPr>
              <w:pStyle w:val="Heading5"/>
              <w:rPr>
                <w:rFonts w:ascii="Arial" w:hAnsi="Arial"/>
                <w:b w:val="0"/>
                <w:szCs w:val="24"/>
                <w:u w:val="none"/>
              </w:rPr>
            </w:pPr>
            <w:r w:rsidRPr="00D046A8">
              <w:rPr>
                <w:rFonts w:ascii="Arial" w:hAnsi="Arial"/>
                <w:szCs w:val="24"/>
                <w:u w:val="none"/>
              </w:rPr>
              <w:t>Recommendation</w:t>
            </w:r>
          </w:p>
          <w:p w:rsidR="003E6A45" w:rsidRPr="00D046A8" w:rsidRDefault="003E6A45">
            <w:pPr>
              <w:rPr>
                <w:szCs w:val="24"/>
              </w:rPr>
            </w:pPr>
          </w:p>
          <w:p w:rsidR="003E6A45" w:rsidRDefault="00464271" w:rsidP="00464271">
            <w:pPr>
              <w:jc w:val="both"/>
              <w:rPr>
                <w:szCs w:val="24"/>
              </w:rPr>
            </w:pPr>
            <w:r>
              <w:rPr>
                <w:szCs w:val="24"/>
              </w:rPr>
              <w:t xml:space="preserve">Education Scrutiny Committee is asked </w:t>
            </w:r>
            <w:r w:rsidR="00425DE5">
              <w:rPr>
                <w:szCs w:val="24"/>
              </w:rPr>
              <w:t>to receive the</w:t>
            </w:r>
            <w:r>
              <w:rPr>
                <w:szCs w:val="24"/>
              </w:rPr>
              <w:t xml:space="preserve"> report</w:t>
            </w:r>
            <w:r w:rsidR="00425DE5">
              <w:rPr>
                <w:szCs w:val="24"/>
              </w:rPr>
              <w:t>, give its views</w:t>
            </w:r>
            <w:r>
              <w:rPr>
                <w:szCs w:val="24"/>
              </w:rPr>
              <w:t xml:space="preserve"> and receive further reports as appropriate.</w:t>
            </w:r>
          </w:p>
          <w:p w:rsidR="00C47BC9" w:rsidRPr="00D046A8" w:rsidRDefault="00C47BC9" w:rsidP="00464271">
            <w:pPr>
              <w:jc w:val="both"/>
              <w:rPr>
                <w:szCs w:val="24"/>
              </w:rPr>
            </w:pPr>
          </w:p>
        </w:tc>
      </w:tr>
    </w:tbl>
    <w:p w:rsidR="003E6A45" w:rsidRPr="00D046A8" w:rsidRDefault="003E6A45">
      <w:pPr>
        <w:pStyle w:val="Header"/>
        <w:rPr>
          <w:szCs w:val="24"/>
        </w:rPr>
      </w:pPr>
    </w:p>
    <w:p w:rsidR="003E6752" w:rsidRPr="00D046A8" w:rsidRDefault="00772BBA" w:rsidP="003E6752">
      <w:pPr>
        <w:rPr>
          <w:rFonts w:ascii="Calibri" w:hAnsi="Calibri"/>
          <w:szCs w:val="24"/>
        </w:rPr>
      </w:pPr>
      <w:r w:rsidRPr="00D046A8">
        <w:rPr>
          <w:b/>
          <w:szCs w:val="24"/>
        </w:rPr>
        <w:t>Background</w:t>
      </w:r>
    </w:p>
    <w:p w:rsidR="00464271" w:rsidRDefault="00464271" w:rsidP="00D10D26">
      <w:pPr>
        <w:jc w:val="both"/>
        <w:rPr>
          <w:rFonts w:cs="Arial"/>
          <w:szCs w:val="24"/>
        </w:rPr>
      </w:pPr>
      <w:r w:rsidRPr="00DF7532">
        <w:rPr>
          <w:rFonts w:cs="Arial"/>
          <w:szCs w:val="24"/>
        </w:rPr>
        <w:br/>
      </w:r>
      <w:r w:rsidR="00A325DA" w:rsidRPr="00A325DA">
        <w:rPr>
          <w:rFonts w:cs="Arial"/>
          <w:szCs w:val="24"/>
        </w:rPr>
        <w:t xml:space="preserve">Under section 15ZA of the Education Act 1996, local authorities have a statutory duty to secure sufficient and suitable education and training provision to meet the reasonable needs of all young people in their area, by influencing and shaping provision through local partnerships and by identifying gaps, enabling new provision and developing the market. The young people covered by this statutory duty are those aged 16-19 and those aged 19-24 who have a learning difficulty and/or disability and are the subject of a learning difficulty assessment. </w:t>
      </w:r>
    </w:p>
    <w:p w:rsidR="00A325DA" w:rsidRDefault="00A325DA" w:rsidP="00D10D26">
      <w:pPr>
        <w:jc w:val="both"/>
        <w:rPr>
          <w:rFonts w:cs="Arial"/>
          <w:szCs w:val="24"/>
        </w:rPr>
      </w:pPr>
    </w:p>
    <w:p w:rsidR="00A325DA" w:rsidRDefault="00A325DA" w:rsidP="00D10D26">
      <w:pPr>
        <w:jc w:val="both"/>
        <w:rPr>
          <w:rFonts w:cs="Arial"/>
          <w:szCs w:val="24"/>
        </w:rPr>
      </w:pPr>
      <w:r w:rsidRPr="00A325DA">
        <w:rPr>
          <w:rFonts w:cs="Arial"/>
          <w:szCs w:val="24"/>
        </w:rPr>
        <w:t xml:space="preserve">The Education and Skills Act 2008 sets out that all young people will be required to continue in education and training to the end of the academic year in which they turn 17 from 2013. This will rise to their 18th birthday from 2015. Raising the Participation Age (RPA) defines the three primary routes to participation as: </w:t>
      </w:r>
    </w:p>
    <w:p w:rsidR="00D10D26" w:rsidRPr="00A325DA" w:rsidRDefault="00D10D26" w:rsidP="00D10D26">
      <w:pPr>
        <w:jc w:val="both"/>
        <w:rPr>
          <w:rFonts w:cs="Arial"/>
          <w:szCs w:val="24"/>
        </w:rPr>
      </w:pPr>
    </w:p>
    <w:p w:rsidR="00A325DA" w:rsidRPr="00A325DA" w:rsidRDefault="00A325DA" w:rsidP="00D10D26">
      <w:pPr>
        <w:numPr>
          <w:ilvl w:val="0"/>
          <w:numId w:val="16"/>
        </w:numPr>
        <w:ind w:left="567" w:hanging="567"/>
        <w:jc w:val="both"/>
        <w:rPr>
          <w:rFonts w:cs="Arial"/>
          <w:szCs w:val="24"/>
        </w:rPr>
      </w:pPr>
      <w:r w:rsidRPr="00A325DA">
        <w:rPr>
          <w:rFonts w:cs="Arial"/>
          <w:szCs w:val="24"/>
        </w:rPr>
        <w:t xml:space="preserve">Full-time education (school, college or home education) </w:t>
      </w:r>
    </w:p>
    <w:p w:rsidR="00A325DA" w:rsidRPr="00A325DA" w:rsidRDefault="00A325DA" w:rsidP="00D10D26">
      <w:pPr>
        <w:numPr>
          <w:ilvl w:val="0"/>
          <w:numId w:val="16"/>
        </w:numPr>
        <w:ind w:left="567" w:hanging="567"/>
        <w:jc w:val="both"/>
        <w:rPr>
          <w:rFonts w:cs="Arial"/>
          <w:szCs w:val="24"/>
        </w:rPr>
      </w:pPr>
      <w:r w:rsidRPr="00A325DA">
        <w:rPr>
          <w:rFonts w:cs="Arial"/>
          <w:szCs w:val="24"/>
        </w:rPr>
        <w:t xml:space="preserve">An Apprenticeship </w:t>
      </w:r>
    </w:p>
    <w:p w:rsidR="00A325DA" w:rsidRDefault="00A325DA" w:rsidP="00D10D26">
      <w:pPr>
        <w:numPr>
          <w:ilvl w:val="0"/>
          <w:numId w:val="16"/>
        </w:numPr>
        <w:ind w:left="567" w:hanging="567"/>
        <w:jc w:val="both"/>
        <w:rPr>
          <w:rFonts w:cs="Arial"/>
          <w:szCs w:val="24"/>
        </w:rPr>
      </w:pPr>
      <w:r w:rsidRPr="00A325DA">
        <w:rPr>
          <w:rFonts w:cs="Arial"/>
          <w:szCs w:val="24"/>
        </w:rPr>
        <w:t xml:space="preserve">Part-time education or training alongside full time employment, </w:t>
      </w:r>
      <w:r w:rsidR="0077090C" w:rsidRPr="00A325DA">
        <w:rPr>
          <w:rFonts w:cs="Arial"/>
          <w:szCs w:val="24"/>
        </w:rPr>
        <w:t>self-employment</w:t>
      </w:r>
      <w:r w:rsidRPr="00A325DA">
        <w:rPr>
          <w:rFonts w:cs="Arial"/>
          <w:szCs w:val="24"/>
        </w:rPr>
        <w:t xml:space="preserve"> or volunteer</w:t>
      </w:r>
      <w:r>
        <w:rPr>
          <w:rFonts w:cs="Arial"/>
          <w:szCs w:val="24"/>
        </w:rPr>
        <w:t>ing for at least 20 hours a week.</w:t>
      </w:r>
    </w:p>
    <w:p w:rsidR="00A325DA" w:rsidRDefault="00A325DA" w:rsidP="00D10D26">
      <w:pPr>
        <w:jc w:val="both"/>
        <w:rPr>
          <w:rFonts w:cs="Arial"/>
          <w:szCs w:val="24"/>
        </w:rPr>
      </w:pPr>
    </w:p>
    <w:p w:rsidR="00BE2B28" w:rsidRDefault="00BE2B28" w:rsidP="00D10D26">
      <w:pPr>
        <w:jc w:val="both"/>
        <w:rPr>
          <w:rFonts w:cs="Arial"/>
          <w:szCs w:val="24"/>
        </w:rPr>
      </w:pPr>
    </w:p>
    <w:p w:rsidR="00BE2B28" w:rsidRDefault="00BE2B28" w:rsidP="00D10D26">
      <w:pPr>
        <w:jc w:val="both"/>
        <w:rPr>
          <w:rFonts w:cs="Arial"/>
          <w:szCs w:val="24"/>
        </w:rPr>
      </w:pPr>
    </w:p>
    <w:p w:rsidR="00BE2B28" w:rsidRDefault="00BE2B28" w:rsidP="00D10D26">
      <w:pPr>
        <w:jc w:val="both"/>
        <w:rPr>
          <w:rFonts w:cs="Arial"/>
          <w:szCs w:val="24"/>
        </w:rPr>
      </w:pPr>
    </w:p>
    <w:p w:rsidR="00A325DA" w:rsidRDefault="00CB176A" w:rsidP="00D10D26">
      <w:pPr>
        <w:jc w:val="both"/>
        <w:rPr>
          <w:rFonts w:cs="Arial"/>
          <w:szCs w:val="24"/>
        </w:rPr>
      </w:pPr>
      <w:r>
        <w:rPr>
          <w:rFonts w:cs="Arial"/>
          <w:szCs w:val="24"/>
        </w:rPr>
        <w:t>This is the statutory framework which defines the role of the local authority in ensuring that there is suitable and sufficient provision available for young people and that they continue to participate in learning.</w:t>
      </w:r>
    </w:p>
    <w:p w:rsidR="00CB176A" w:rsidRDefault="00CB176A" w:rsidP="00D10D26">
      <w:pPr>
        <w:jc w:val="both"/>
        <w:rPr>
          <w:rFonts w:cs="Arial"/>
          <w:szCs w:val="24"/>
        </w:rPr>
      </w:pPr>
    </w:p>
    <w:p w:rsidR="00073AAC" w:rsidRDefault="00073AAC" w:rsidP="00D10D26">
      <w:pPr>
        <w:jc w:val="both"/>
        <w:rPr>
          <w:rFonts w:cs="Arial"/>
          <w:b/>
          <w:szCs w:val="24"/>
        </w:rPr>
      </w:pPr>
      <w:r>
        <w:rPr>
          <w:rFonts w:cs="Arial"/>
          <w:b/>
          <w:szCs w:val="24"/>
        </w:rPr>
        <w:t>Make up of local provision</w:t>
      </w:r>
      <w:r w:rsidR="00D10D26">
        <w:rPr>
          <w:rFonts w:cs="Arial"/>
          <w:b/>
          <w:szCs w:val="24"/>
        </w:rPr>
        <w:t xml:space="preserve"> </w:t>
      </w:r>
    </w:p>
    <w:p w:rsidR="00073AAC" w:rsidRDefault="00073AAC" w:rsidP="00D10D26">
      <w:pPr>
        <w:jc w:val="both"/>
        <w:rPr>
          <w:rFonts w:cs="Arial"/>
          <w:b/>
          <w:szCs w:val="24"/>
        </w:rPr>
      </w:pPr>
    </w:p>
    <w:p w:rsidR="00073AAC" w:rsidRDefault="00073AAC" w:rsidP="00D10D26">
      <w:pPr>
        <w:jc w:val="both"/>
        <w:rPr>
          <w:rFonts w:cs="Arial"/>
          <w:szCs w:val="24"/>
        </w:rPr>
      </w:pPr>
      <w:r w:rsidRPr="00073AAC">
        <w:rPr>
          <w:rFonts w:cs="Arial"/>
          <w:szCs w:val="24"/>
        </w:rPr>
        <w:t>The makeup of the local p</w:t>
      </w:r>
      <w:r w:rsidR="00BE2B28">
        <w:rPr>
          <w:rFonts w:cs="Arial"/>
          <w:szCs w:val="24"/>
        </w:rPr>
        <w:t>ost 16 providers is as follows:</w:t>
      </w:r>
    </w:p>
    <w:p w:rsidR="00BE2B28" w:rsidRPr="00073AAC" w:rsidRDefault="00BE2B28" w:rsidP="00D10D26">
      <w:pPr>
        <w:jc w:val="both"/>
        <w:rPr>
          <w:rFonts w:cs="Arial"/>
          <w:szCs w:val="24"/>
        </w:rPr>
      </w:pPr>
    </w:p>
    <w:p w:rsidR="00D10D26" w:rsidRDefault="009F05A6" w:rsidP="00BE2B28">
      <w:pPr>
        <w:numPr>
          <w:ilvl w:val="0"/>
          <w:numId w:val="16"/>
        </w:numPr>
        <w:spacing w:after="120"/>
        <w:ind w:left="567" w:hanging="567"/>
        <w:jc w:val="both"/>
        <w:rPr>
          <w:rFonts w:cs="Arial"/>
          <w:szCs w:val="24"/>
        </w:rPr>
      </w:pPr>
      <w:r>
        <w:rPr>
          <w:rFonts w:cs="Arial"/>
          <w:szCs w:val="24"/>
        </w:rPr>
        <w:t>Nine</w:t>
      </w:r>
      <w:r w:rsidR="00073AAC" w:rsidRPr="00073AAC">
        <w:rPr>
          <w:rFonts w:cs="Arial"/>
          <w:szCs w:val="24"/>
        </w:rPr>
        <w:t xml:space="preserve"> further education (FE) colleges – </w:t>
      </w:r>
      <w:r>
        <w:rPr>
          <w:rFonts w:cs="Arial"/>
          <w:szCs w:val="24"/>
        </w:rPr>
        <w:t>seven</w:t>
      </w:r>
      <w:r w:rsidR="00073AAC" w:rsidRPr="00073AAC">
        <w:rPr>
          <w:rFonts w:cs="Arial"/>
          <w:szCs w:val="24"/>
        </w:rPr>
        <w:t xml:space="preserve"> are general FE, one is land based and one is a sixth form</w:t>
      </w:r>
      <w:r w:rsidR="00C47BC9">
        <w:rPr>
          <w:rFonts w:cs="Arial"/>
          <w:szCs w:val="24"/>
        </w:rPr>
        <w:t xml:space="preserve"> (see Appendix A)</w:t>
      </w:r>
      <w:r w:rsidR="00D10D26">
        <w:rPr>
          <w:rFonts w:cs="Arial"/>
          <w:szCs w:val="24"/>
        </w:rPr>
        <w:t xml:space="preserve"> </w:t>
      </w:r>
      <w:r w:rsidR="00073AAC" w:rsidRPr="00073AAC">
        <w:rPr>
          <w:rFonts w:cs="Arial"/>
          <w:szCs w:val="24"/>
        </w:rPr>
        <w:t xml:space="preserve"> </w:t>
      </w:r>
    </w:p>
    <w:p w:rsidR="00073AAC" w:rsidRPr="00073AAC" w:rsidRDefault="00073AAC" w:rsidP="00BE2B28">
      <w:pPr>
        <w:numPr>
          <w:ilvl w:val="0"/>
          <w:numId w:val="16"/>
        </w:numPr>
        <w:spacing w:after="120"/>
        <w:ind w:left="567" w:hanging="567"/>
        <w:jc w:val="both"/>
        <w:rPr>
          <w:rFonts w:cs="Arial"/>
          <w:szCs w:val="24"/>
        </w:rPr>
      </w:pPr>
      <w:r w:rsidRPr="00073AAC">
        <w:rPr>
          <w:rFonts w:cs="Arial"/>
          <w:szCs w:val="24"/>
        </w:rPr>
        <w:t xml:space="preserve">One Foundation Learning Provider </w:t>
      </w:r>
    </w:p>
    <w:p w:rsidR="00C47BC9" w:rsidRDefault="00073AAC" w:rsidP="00BE2B28">
      <w:pPr>
        <w:numPr>
          <w:ilvl w:val="0"/>
          <w:numId w:val="16"/>
        </w:numPr>
        <w:spacing w:after="120"/>
        <w:ind w:left="567" w:hanging="567"/>
        <w:jc w:val="both"/>
        <w:rPr>
          <w:rFonts w:cs="Arial"/>
          <w:szCs w:val="24"/>
        </w:rPr>
      </w:pPr>
      <w:r w:rsidRPr="00C47BC9">
        <w:rPr>
          <w:rFonts w:cs="Arial"/>
          <w:szCs w:val="24"/>
        </w:rPr>
        <w:t>Fifteen School Sixth Forms (SSF</w:t>
      </w:r>
      <w:r w:rsidR="009F05A6" w:rsidRPr="00C47BC9">
        <w:rPr>
          <w:rFonts w:cs="Arial"/>
          <w:szCs w:val="24"/>
        </w:rPr>
        <w:t>)</w:t>
      </w:r>
      <w:r w:rsidR="00C47BC9" w:rsidRPr="00C47BC9">
        <w:rPr>
          <w:rFonts w:cs="Arial"/>
          <w:szCs w:val="24"/>
        </w:rPr>
        <w:t xml:space="preserve"> (see Appendix B)  </w:t>
      </w:r>
    </w:p>
    <w:p w:rsidR="00073AAC" w:rsidRPr="00C47BC9" w:rsidRDefault="00073AAC" w:rsidP="00BE2B28">
      <w:pPr>
        <w:numPr>
          <w:ilvl w:val="0"/>
          <w:numId w:val="16"/>
        </w:numPr>
        <w:spacing w:after="120"/>
        <w:ind w:left="567" w:hanging="567"/>
        <w:jc w:val="both"/>
        <w:rPr>
          <w:rFonts w:cs="Arial"/>
          <w:szCs w:val="24"/>
        </w:rPr>
      </w:pPr>
      <w:r w:rsidRPr="00C47BC9">
        <w:rPr>
          <w:rFonts w:cs="Arial"/>
          <w:szCs w:val="24"/>
        </w:rPr>
        <w:t xml:space="preserve">Nine Academies, including one University Technical College (UTC) </w:t>
      </w:r>
    </w:p>
    <w:p w:rsidR="00317DBE" w:rsidRPr="00073AAC" w:rsidRDefault="00E77071" w:rsidP="00BE2B28">
      <w:pPr>
        <w:numPr>
          <w:ilvl w:val="0"/>
          <w:numId w:val="16"/>
        </w:numPr>
        <w:spacing w:after="120"/>
        <w:ind w:left="567" w:hanging="567"/>
        <w:jc w:val="both"/>
        <w:rPr>
          <w:rFonts w:cs="Arial"/>
          <w:szCs w:val="24"/>
        </w:rPr>
      </w:pPr>
      <w:r>
        <w:rPr>
          <w:rFonts w:cs="Arial"/>
          <w:szCs w:val="24"/>
        </w:rPr>
        <w:t>A large number of providers of Apprenticeships</w:t>
      </w:r>
      <w:r w:rsidR="001E3608">
        <w:rPr>
          <w:rFonts w:cs="Arial"/>
          <w:szCs w:val="24"/>
        </w:rPr>
        <w:t xml:space="preserve"> and work based learning</w:t>
      </w:r>
      <w:r w:rsidR="00BE2B28">
        <w:rPr>
          <w:rFonts w:cs="Arial"/>
          <w:szCs w:val="24"/>
        </w:rPr>
        <w:t xml:space="preserve"> </w:t>
      </w:r>
      <w:r w:rsidR="00C47BC9">
        <w:rPr>
          <w:rFonts w:cs="Arial"/>
          <w:szCs w:val="24"/>
        </w:rPr>
        <w:t xml:space="preserve">(see Appendix </w:t>
      </w:r>
      <w:r w:rsidR="00BE2B28">
        <w:rPr>
          <w:rFonts w:cs="Arial"/>
          <w:szCs w:val="24"/>
        </w:rPr>
        <w:t>C</w:t>
      </w:r>
      <w:r w:rsidR="00C47BC9">
        <w:rPr>
          <w:rFonts w:cs="Arial"/>
          <w:szCs w:val="24"/>
        </w:rPr>
        <w:t>)</w:t>
      </w:r>
    </w:p>
    <w:p w:rsidR="00E77071" w:rsidRDefault="00E77071" w:rsidP="00D10D26">
      <w:pPr>
        <w:jc w:val="both"/>
        <w:rPr>
          <w:rFonts w:cs="Arial"/>
          <w:szCs w:val="24"/>
        </w:rPr>
      </w:pPr>
    </w:p>
    <w:p w:rsidR="001E3608" w:rsidRDefault="00073AAC" w:rsidP="00D10D26">
      <w:pPr>
        <w:jc w:val="both"/>
        <w:rPr>
          <w:rFonts w:cs="Arial"/>
          <w:szCs w:val="24"/>
        </w:rPr>
      </w:pPr>
      <w:r w:rsidRPr="00073AAC">
        <w:rPr>
          <w:rFonts w:cs="Arial"/>
          <w:szCs w:val="24"/>
        </w:rPr>
        <w:t>West Lancashire College, which is part of Newcastle College, is also based in the county and as well as 15 local authority maintained special schools with post 16 provision</w:t>
      </w:r>
      <w:r w:rsidR="004E6D40">
        <w:rPr>
          <w:rFonts w:cs="Arial"/>
          <w:szCs w:val="24"/>
        </w:rPr>
        <w:t>.  The UTC provides Construction and Engineering Provision for 14-19 year olds in Burnley and surrounding districts.  This is one of the new developments within the school system, including Academies, Free Schools and Studio Schools designed to provide more specialist provi</w:t>
      </w:r>
      <w:r w:rsidR="00F7182E">
        <w:rPr>
          <w:rFonts w:cs="Arial"/>
          <w:szCs w:val="24"/>
        </w:rPr>
        <w:t>sion, add choice and raise standards</w:t>
      </w:r>
      <w:r w:rsidR="007F0B84">
        <w:rPr>
          <w:rFonts w:cs="Arial"/>
          <w:szCs w:val="24"/>
        </w:rPr>
        <w:t>.</w:t>
      </w:r>
    </w:p>
    <w:p w:rsidR="007F0B84" w:rsidRPr="001E3608" w:rsidRDefault="007F0B84" w:rsidP="00D10D26">
      <w:pPr>
        <w:jc w:val="both"/>
        <w:rPr>
          <w:rFonts w:cs="Arial"/>
          <w:szCs w:val="24"/>
        </w:rPr>
      </w:pPr>
    </w:p>
    <w:p w:rsidR="00073AAC" w:rsidRDefault="00F7182E" w:rsidP="00D10D26">
      <w:pPr>
        <w:jc w:val="both"/>
        <w:rPr>
          <w:rFonts w:cs="Arial"/>
          <w:szCs w:val="24"/>
        </w:rPr>
      </w:pPr>
      <w:r>
        <w:rPr>
          <w:rFonts w:cs="Arial"/>
          <w:szCs w:val="24"/>
        </w:rPr>
        <w:t>These developments</w:t>
      </w:r>
      <w:r w:rsidR="00073AAC" w:rsidRPr="00073AAC">
        <w:rPr>
          <w:rFonts w:cs="Arial"/>
          <w:szCs w:val="24"/>
        </w:rPr>
        <w:t xml:space="preserve"> withi</w:t>
      </w:r>
      <w:r>
        <w:rPr>
          <w:rFonts w:cs="Arial"/>
          <w:szCs w:val="24"/>
        </w:rPr>
        <w:t xml:space="preserve">n the school system </w:t>
      </w:r>
      <w:r w:rsidR="005F51BE">
        <w:rPr>
          <w:rFonts w:cs="Arial"/>
          <w:szCs w:val="24"/>
        </w:rPr>
        <w:t>will over time</w:t>
      </w:r>
      <w:r w:rsidR="00073AAC" w:rsidRPr="00073AAC">
        <w:rPr>
          <w:rFonts w:cs="Arial"/>
          <w:szCs w:val="24"/>
        </w:rPr>
        <w:t xml:space="preserve"> increase the number of providers offering post 16 provision across the county. </w:t>
      </w:r>
      <w:r w:rsidR="007F0B84">
        <w:rPr>
          <w:rFonts w:cs="Arial"/>
          <w:szCs w:val="24"/>
        </w:rPr>
        <w:t xml:space="preserve"> </w:t>
      </w:r>
      <w:r w:rsidR="004E6D40">
        <w:rPr>
          <w:rFonts w:cs="Arial"/>
          <w:szCs w:val="24"/>
        </w:rPr>
        <w:t>Updates on how new provision is being implemented will be provided to the Committee on a regular basis.</w:t>
      </w:r>
    </w:p>
    <w:p w:rsidR="001E3608" w:rsidRPr="00073AAC" w:rsidRDefault="001E3608" w:rsidP="00D10D26">
      <w:pPr>
        <w:jc w:val="both"/>
        <w:rPr>
          <w:rFonts w:cs="Arial"/>
          <w:szCs w:val="24"/>
        </w:rPr>
      </w:pPr>
    </w:p>
    <w:p w:rsidR="00073AAC" w:rsidRDefault="00073AAC" w:rsidP="00D10D26">
      <w:pPr>
        <w:jc w:val="both"/>
        <w:rPr>
          <w:rFonts w:cs="Arial"/>
          <w:szCs w:val="24"/>
        </w:rPr>
      </w:pPr>
      <w:r w:rsidRPr="00073AAC">
        <w:rPr>
          <w:rFonts w:cs="Arial"/>
          <w:szCs w:val="24"/>
        </w:rPr>
        <w:t xml:space="preserve">In addition, Lancashire residents access education and training in the neighbouring local authority areas of Blackpool and Blackburn with </w:t>
      </w:r>
      <w:proofErr w:type="spellStart"/>
      <w:r w:rsidRPr="00073AAC">
        <w:rPr>
          <w:rFonts w:cs="Arial"/>
          <w:szCs w:val="24"/>
        </w:rPr>
        <w:t>Darwen</w:t>
      </w:r>
      <w:proofErr w:type="spellEnd"/>
      <w:r w:rsidRPr="00073AAC">
        <w:rPr>
          <w:rFonts w:cs="Arial"/>
          <w:szCs w:val="24"/>
        </w:rPr>
        <w:t xml:space="preserve">. </w:t>
      </w:r>
      <w:r w:rsidR="007F0B84">
        <w:rPr>
          <w:rFonts w:cs="Arial"/>
          <w:szCs w:val="24"/>
        </w:rPr>
        <w:t xml:space="preserve"> </w:t>
      </w:r>
      <w:r w:rsidRPr="00073AAC">
        <w:rPr>
          <w:rFonts w:cs="Arial"/>
          <w:szCs w:val="24"/>
        </w:rPr>
        <w:t xml:space="preserve">In Blackpool, there is one FE college, one sixth </w:t>
      </w:r>
      <w:proofErr w:type="gramStart"/>
      <w:r w:rsidRPr="00073AAC">
        <w:rPr>
          <w:rFonts w:cs="Arial"/>
          <w:szCs w:val="24"/>
        </w:rPr>
        <w:t>form co</w:t>
      </w:r>
      <w:bookmarkStart w:id="0" w:name="_GoBack"/>
      <w:bookmarkEnd w:id="0"/>
      <w:r w:rsidRPr="00073AAC">
        <w:rPr>
          <w:rFonts w:cs="Arial"/>
          <w:szCs w:val="24"/>
        </w:rPr>
        <w:t>llege</w:t>
      </w:r>
      <w:proofErr w:type="gramEnd"/>
      <w:r w:rsidRPr="00073AAC">
        <w:rPr>
          <w:rFonts w:cs="Arial"/>
          <w:szCs w:val="24"/>
        </w:rPr>
        <w:t xml:space="preserve">, one SSF and two special schools. </w:t>
      </w:r>
      <w:r w:rsidR="007F0B84">
        <w:rPr>
          <w:rFonts w:cs="Arial"/>
          <w:szCs w:val="24"/>
        </w:rPr>
        <w:t xml:space="preserve"> </w:t>
      </w:r>
      <w:r w:rsidRPr="00073AAC">
        <w:rPr>
          <w:rFonts w:cs="Arial"/>
          <w:szCs w:val="24"/>
        </w:rPr>
        <w:t xml:space="preserve">In Blackburn with </w:t>
      </w:r>
      <w:proofErr w:type="spellStart"/>
      <w:r w:rsidRPr="00073AAC">
        <w:rPr>
          <w:rFonts w:cs="Arial"/>
          <w:szCs w:val="24"/>
        </w:rPr>
        <w:t>Darwen</w:t>
      </w:r>
      <w:proofErr w:type="spellEnd"/>
      <w:r w:rsidRPr="00073AAC">
        <w:rPr>
          <w:rFonts w:cs="Arial"/>
          <w:szCs w:val="24"/>
        </w:rPr>
        <w:t xml:space="preserve">, there is one FE </w:t>
      </w:r>
      <w:proofErr w:type="gramStart"/>
      <w:r w:rsidRPr="00073AAC">
        <w:rPr>
          <w:rFonts w:cs="Arial"/>
          <w:szCs w:val="24"/>
        </w:rPr>
        <w:t>college</w:t>
      </w:r>
      <w:proofErr w:type="gramEnd"/>
      <w:r w:rsidRPr="00073AAC">
        <w:rPr>
          <w:rFonts w:cs="Arial"/>
          <w:szCs w:val="24"/>
        </w:rPr>
        <w:t xml:space="preserve">, one sixth form college, two SSFs, one Foundation Learning provider, one special school and three academies. </w:t>
      </w:r>
    </w:p>
    <w:p w:rsidR="007F0B84" w:rsidRPr="00073AAC" w:rsidRDefault="007F0B84" w:rsidP="00D10D26">
      <w:pPr>
        <w:jc w:val="both"/>
        <w:rPr>
          <w:rFonts w:cs="Arial"/>
          <w:szCs w:val="24"/>
        </w:rPr>
      </w:pPr>
    </w:p>
    <w:p w:rsidR="00073AAC" w:rsidRDefault="00073AAC" w:rsidP="00D10D26">
      <w:pPr>
        <w:jc w:val="both"/>
        <w:rPr>
          <w:rFonts w:cs="Arial"/>
          <w:szCs w:val="24"/>
        </w:rPr>
      </w:pPr>
      <w:r w:rsidRPr="00073AAC">
        <w:rPr>
          <w:rFonts w:cs="Arial"/>
          <w:szCs w:val="24"/>
        </w:rPr>
        <w:t>Lancashire is a net exporter of FE and SSF learners overall, with more learners leaving the county to acc</w:t>
      </w:r>
      <w:r w:rsidR="00CE7ADF">
        <w:rPr>
          <w:rFonts w:cs="Arial"/>
          <w:szCs w:val="24"/>
        </w:rPr>
        <w:t xml:space="preserve">ess provision than entering it </w:t>
      </w:r>
      <w:r w:rsidRPr="00073AAC">
        <w:rPr>
          <w:rFonts w:cs="Arial"/>
          <w:szCs w:val="24"/>
        </w:rPr>
        <w:t>and the main travel out of the county is to</w:t>
      </w:r>
      <w:r w:rsidR="007F0B84">
        <w:rPr>
          <w:rFonts w:cs="Arial"/>
          <w:szCs w:val="24"/>
        </w:rPr>
        <w:t xml:space="preserve"> the</w:t>
      </w:r>
      <w:r w:rsidRPr="00073AAC">
        <w:rPr>
          <w:rFonts w:cs="Arial"/>
          <w:szCs w:val="24"/>
        </w:rPr>
        <w:t xml:space="preserve"> Blackburn with </w:t>
      </w:r>
      <w:proofErr w:type="spellStart"/>
      <w:r w:rsidRPr="00073AAC">
        <w:rPr>
          <w:rFonts w:cs="Arial"/>
          <w:szCs w:val="24"/>
        </w:rPr>
        <w:t>Dar</w:t>
      </w:r>
      <w:r w:rsidR="00CE7ADF">
        <w:rPr>
          <w:rFonts w:cs="Arial"/>
          <w:szCs w:val="24"/>
        </w:rPr>
        <w:t>wen</w:t>
      </w:r>
      <w:proofErr w:type="spellEnd"/>
      <w:r w:rsidR="00CE7ADF">
        <w:rPr>
          <w:rFonts w:cs="Arial"/>
          <w:szCs w:val="24"/>
        </w:rPr>
        <w:t xml:space="preserve"> local authority</w:t>
      </w:r>
      <w:r w:rsidR="005F51BE">
        <w:rPr>
          <w:rFonts w:cs="Arial"/>
          <w:szCs w:val="24"/>
        </w:rPr>
        <w:t xml:space="preserve"> area</w:t>
      </w:r>
      <w:r w:rsidR="00CE7ADF">
        <w:rPr>
          <w:rFonts w:cs="Arial"/>
          <w:szCs w:val="24"/>
        </w:rPr>
        <w:t xml:space="preserve">. </w:t>
      </w:r>
    </w:p>
    <w:p w:rsidR="007F0B84" w:rsidRDefault="007F0B84" w:rsidP="00D10D26">
      <w:pPr>
        <w:jc w:val="both"/>
        <w:rPr>
          <w:rFonts w:cs="Arial"/>
          <w:szCs w:val="24"/>
        </w:rPr>
      </w:pPr>
    </w:p>
    <w:p w:rsidR="00073AAC" w:rsidRPr="002121B1" w:rsidRDefault="00CA08BB" w:rsidP="00D10D26">
      <w:pPr>
        <w:jc w:val="both"/>
        <w:rPr>
          <w:rFonts w:cs="Arial"/>
          <w:b/>
          <w:szCs w:val="24"/>
        </w:rPr>
      </w:pPr>
      <w:r>
        <w:rPr>
          <w:rFonts w:cs="Arial"/>
          <w:szCs w:val="24"/>
        </w:rPr>
        <w:t>The attached appendices list the names of the individual provider</w:t>
      </w:r>
      <w:r w:rsidR="009F05A6">
        <w:rPr>
          <w:rFonts w:cs="Arial"/>
          <w:szCs w:val="24"/>
        </w:rPr>
        <w:t>s</w:t>
      </w:r>
      <w:r>
        <w:rPr>
          <w:rFonts w:cs="Arial"/>
          <w:szCs w:val="24"/>
        </w:rPr>
        <w:t xml:space="preserve"> within each district with a map that shows how provision maps geographically.</w:t>
      </w:r>
      <w:r w:rsidR="005F51BE">
        <w:rPr>
          <w:rFonts w:cs="Arial"/>
          <w:szCs w:val="24"/>
        </w:rPr>
        <w:t xml:space="preserve"> </w:t>
      </w:r>
      <w:r w:rsidR="007F0B84">
        <w:rPr>
          <w:rFonts w:cs="Arial"/>
          <w:szCs w:val="24"/>
        </w:rPr>
        <w:t xml:space="preserve"> </w:t>
      </w:r>
      <w:r w:rsidR="005F51BE">
        <w:rPr>
          <w:rFonts w:cs="Arial"/>
          <w:szCs w:val="24"/>
        </w:rPr>
        <w:t>They also describe the main learning routes that are available to young people</w:t>
      </w:r>
      <w:r w:rsidR="00BE2B28">
        <w:rPr>
          <w:rFonts w:cs="Arial"/>
          <w:szCs w:val="24"/>
        </w:rPr>
        <w:t xml:space="preserve"> (See Appendices D, E and F respectively)</w:t>
      </w:r>
      <w:r w:rsidR="007F0B84">
        <w:rPr>
          <w:rFonts w:cs="Arial"/>
          <w:szCs w:val="24"/>
        </w:rPr>
        <w:t xml:space="preserve">. </w:t>
      </w:r>
    </w:p>
    <w:p w:rsidR="002121B1" w:rsidRDefault="002121B1" w:rsidP="00D10D26">
      <w:pPr>
        <w:jc w:val="both"/>
        <w:rPr>
          <w:rFonts w:cs="Arial"/>
          <w:b/>
          <w:szCs w:val="24"/>
        </w:rPr>
      </w:pPr>
    </w:p>
    <w:p w:rsidR="00BE2B28" w:rsidRDefault="00BE2B28" w:rsidP="00D10D26">
      <w:pPr>
        <w:jc w:val="both"/>
        <w:rPr>
          <w:rFonts w:cs="Arial"/>
          <w:b/>
          <w:szCs w:val="24"/>
        </w:rPr>
      </w:pPr>
    </w:p>
    <w:p w:rsidR="00BE2B28" w:rsidRDefault="00BE2B28" w:rsidP="00D10D26">
      <w:pPr>
        <w:jc w:val="both"/>
        <w:rPr>
          <w:rFonts w:cs="Arial"/>
          <w:b/>
          <w:szCs w:val="24"/>
        </w:rPr>
      </w:pPr>
    </w:p>
    <w:p w:rsidR="00BE2B28" w:rsidRDefault="00BE2B28" w:rsidP="00D10D26">
      <w:pPr>
        <w:jc w:val="both"/>
        <w:rPr>
          <w:rFonts w:cs="Arial"/>
          <w:b/>
          <w:szCs w:val="24"/>
        </w:rPr>
      </w:pPr>
    </w:p>
    <w:p w:rsidR="00BE2B28" w:rsidRDefault="00BE2B28" w:rsidP="00D10D26">
      <w:pPr>
        <w:jc w:val="both"/>
        <w:rPr>
          <w:rFonts w:cs="Arial"/>
          <w:b/>
          <w:szCs w:val="24"/>
        </w:rPr>
      </w:pPr>
    </w:p>
    <w:p w:rsidR="00BE2B28" w:rsidRDefault="00BE2B28" w:rsidP="00D10D26">
      <w:pPr>
        <w:jc w:val="both"/>
        <w:rPr>
          <w:rFonts w:cs="Arial"/>
          <w:b/>
          <w:szCs w:val="24"/>
        </w:rPr>
      </w:pPr>
    </w:p>
    <w:p w:rsidR="00CB176A" w:rsidRPr="00CB176A" w:rsidRDefault="00073AAC" w:rsidP="00D10D26">
      <w:pPr>
        <w:jc w:val="both"/>
        <w:rPr>
          <w:rFonts w:cs="Arial"/>
          <w:b/>
          <w:szCs w:val="24"/>
        </w:rPr>
      </w:pPr>
      <w:r>
        <w:rPr>
          <w:rFonts w:cs="Arial"/>
          <w:b/>
          <w:szCs w:val="24"/>
        </w:rPr>
        <w:t>P</w:t>
      </w:r>
      <w:r w:rsidR="00CB176A" w:rsidRPr="00CB176A">
        <w:rPr>
          <w:rFonts w:cs="Arial"/>
          <w:b/>
          <w:szCs w:val="24"/>
        </w:rPr>
        <w:t>articipation in learning</w:t>
      </w:r>
    </w:p>
    <w:p w:rsidR="00CB176A" w:rsidRDefault="00CB176A" w:rsidP="00D10D26">
      <w:pPr>
        <w:jc w:val="both"/>
        <w:rPr>
          <w:rFonts w:cs="Arial"/>
          <w:b/>
          <w:szCs w:val="24"/>
        </w:rPr>
      </w:pPr>
    </w:p>
    <w:p w:rsidR="001E3608" w:rsidRPr="001E3608" w:rsidRDefault="001E3608" w:rsidP="00D10D26">
      <w:pPr>
        <w:jc w:val="both"/>
        <w:rPr>
          <w:rFonts w:cs="Arial"/>
          <w:szCs w:val="24"/>
        </w:rPr>
      </w:pPr>
      <w:r w:rsidRPr="001E3608">
        <w:rPr>
          <w:rFonts w:cs="Arial"/>
          <w:szCs w:val="24"/>
        </w:rPr>
        <w:t>The following tables demonstrate how Lancashire compares with others in the participation of young people in learning</w:t>
      </w:r>
    </w:p>
    <w:p w:rsidR="001E3608" w:rsidRPr="001E3608" w:rsidRDefault="001E3608" w:rsidP="00D10D26">
      <w:pPr>
        <w:jc w:val="both"/>
        <w:rPr>
          <w:rFonts w:cs="Arial"/>
          <w:szCs w:val="24"/>
        </w:rPr>
      </w:pPr>
    </w:p>
    <w:p w:rsidR="005E3F1E" w:rsidRDefault="005E3F1E" w:rsidP="007F0B84">
      <w:pPr>
        <w:jc w:val="both"/>
        <w:rPr>
          <w:rFonts w:cs="Arial"/>
          <w:szCs w:val="24"/>
        </w:rPr>
      </w:pPr>
      <w:r w:rsidRPr="00EF0A79">
        <w:rPr>
          <w:rFonts w:cs="Arial"/>
          <w:szCs w:val="24"/>
        </w:rPr>
        <w:t>16 year olds participating in learning December 2014</w:t>
      </w:r>
    </w:p>
    <w:p w:rsidR="001E3608" w:rsidRDefault="001E3608" w:rsidP="00D10D26">
      <w:pPr>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tblGrid>
      <w:tr w:rsidR="007F0B84" w:rsidTr="007F0B84">
        <w:tc>
          <w:tcPr>
            <w:tcW w:w="2943" w:type="dxa"/>
          </w:tcPr>
          <w:p w:rsidR="007F0B84" w:rsidRDefault="007F0B84" w:rsidP="00D10D26">
            <w:pPr>
              <w:jc w:val="both"/>
              <w:rPr>
                <w:rFonts w:cs="Arial"/>
                <w:szCs w:val="24"/>
              </w:rPr>
            </w:pPr>
            <w:r w:rsidRPr="00EF0A79">
              <w:rPr>
                <w:rFonts w:cs="Arial"/>
                <w:szCs w:val="24"/>
              </w:rPr>
              <w:t>England</w:t>
            </w:r>
          </w:p>
        </w:tc>
        <w:tc>
          <w:tcPr>
            <w:tcW w:w="1134" w:type="dxa"/>
          </w:tcPr>
          <w:p w:rsidR="007F0B84" w:rsidRDefault="007F0B84" w:rsidP="00D10D26">
            <w:pPr>
              <w:jc w:val="both"/>
              <w:rPr>
                <w:rFonts w:cs="Arial"/>
                <w:szCs w:val="24"/>
              </w:rPr>
            </w:pPr>
            <w:r w:rsidRPr="00EF0A79">
              <w:rPr>
                <w:rFonts w:cs="Arial"/>
                <w:szCs w:val="24"/>
              </w:rPr>
              <w:t>94.2%</w:t>
            </w:r>
          </w:p>
        </w:tc>
      </w:tr>
      <w:tr w:rsidR="007F0B84" w:rsidTr="007F0B84">
        <w:tc>
          <w:tcPr>
            <w:tcW w:w="2943" w:type="dxa"/>
          </w:tcPr>
          <w:p w:rsidR="007F0B84" w:rsidRDefault="007F0B84" w:rsidP="00D10D26">
            <w:pPr>
              <w:jc w:val="both"/>
              <w:rPr>
                <w:rFonts w:cs="Arial"/>
                <w:szCs w:val="24"/>
              </w:rPr>
            </w:pPr>
            <w:r w:rsidRPr="00EF0A79">
              <w:rPr>
                <w:rFonts w:cs="Arial"/>
                <w:szCs w:val="24"/>
              </w:rPr>
              <w:t>North-West</w:t>
            </w:r>
          </w:p>
        </w:tc>
        <w:tc>
          <w:tcPr>
            <w:tcW w:w="1134" w:type="dxa"/>
          </w:tcPr>
          <w:p w:rsidR="007F0B84" w:rsidRDefault="007F0B84" w:rsidP="00D10D26">
            <w:pPr>
              <w:jc w:val="both"/>
              <w:rPr>
                <w:rFonts w:cs="Arial"/>
                <w:szCs w:val="24"/>
              </w:rPr>
            </w:pPr>
            <w:r w:rsidRPr="00EF0A79">
              <w:rPr>
                <w:rFonts w:cs="Arial"/>
                <w:szCs w:val="24"/>
              </w:rPr>
              <w:t>94.3%</w:t>
            </w:r>
          </w:p>
        </w:tc>
      </w:tr>
      <w:tr w:rsidR="007F0B84" w:rsidTr="007F0B84">
        <w:tc>
          <w:tcPr>
            <w:tcW w:w="2943" w:type="dxa"/>
          </w:tcPr>
          <w:p w:rsidR="007F0B84" w:rsidRDefault="007F0B84" w:rsidP="00D10D26">
            <w:pPr>
              <w:jc w:val="both"/>
              <w:rPr>
                <w:rFonts w:cs="Arial"/>
                <w:szCs w:val="24"/>
              </w:rPr>
            </w:pPr>
            <w:r w:rsidRPr="00EF0A79">
              <w:rPr>
                <w:rFonts w:cs="Arial"/>
                <w:szCs w:val="24"/>
              </w:rPr>
              <w:t>Lancashire</w:t>
            </w:r>
          </w:p>
        </w:tc>
        <w:tc>
          <w:tcPr>
            <w:tcW w:w="1134" w:type="dxa"/>
          </w:tcPr>
          <w:p w:rsidR="007F0B84" w:rsidRDefault="007F0B84" w:rsidP="00D10D26">
            <w:pPr>
              <w:jc w:val="both"/>
              <w:rPr>
                <w:rFonts w:cs="Arial"/>
                <w:szCs w:val="24"/>
              </w:rPr>
            </w:pPr>
            <w:r w:rsidRPr="00EF0A79">
              <w:rPr>
                <w:rFonts w:cs="Arial"/>
                <w:szCs w:val="24"/>
              </w:rPr>
              <w:t>94.4%</w:t>
            </w:r>
          </w:p>
        </w:tc>
      </w:tr>
      <w:tr w:rsidR="007F0B84" w:rsidTr="007F0B84">
        <w:tc>
          <w:tcPr>
            <w:tcW w:w="2943" w:type="dxa"/>
          </w:tcPr>
          <w:p w:rsidR="007F0B84" w:rsidRDefault="007F0B84" w:rsidP="00D10D26">
            <w:pPr>
              <w:jc w:val="both"/>
              <w:rPr>
                <w:rFonts w:cs="Arial"/>
                <w:szCs w:val="24"/>
              </w:rPr>
            </w:pPr>
            <w:r w:rsidRPr="00EF0A79">
              <w:rPr>
                <w:rFonts w:cs="Arial"/>
                <w:szCs w:val="24"/>
              </w:rPr>
              <w:t xml:space="preserve">Blackburn with </w:t>
            </w:r>
            <w:proofErr w:type="spellStart"/>
            <w:r w:rsidRPr="00EF0A79">
              <w:rPr>
                <w:rFonts w:cs="Arial"/>
                <w:szCs w:val="24"/>
              </w:rPr>
              <w:t>Darwen</w:t>
            </w:r>
            <w:proofErr w:type="spellEnd"/>
          </w:p>
        </w:tc>
        <w:tc>
          <w:tcPr>
            <w:tcW w:w="1134" w:type="dxa"/>
          </w:tcPr>
          <w:p w:rsidR="007F0B84" w:rsidRDefault="007F0B84" w:rsidP="00D10D26">
            <w:pPr>
              <w:jc w:val="both"/>
              <w:rPr>
                <w:rFonts w:cs="Arial"/>
                <w:szCs w:val="24"/>
              </w:rPr>
            </w:pPr>
            <w:r w:rsidRPr="00EF0A79">
              <w:rPr>
                <w:rFonts w:cs="Arial"/>
                <w:szCs w:val="24"/>
              </w:rPr>
              <w:t>93.8%</w:t>
            </w:r>
          </w:p>
        </w:tc>
      </w:tr>
      <w:tr w:rsidR="007F0B84" w:rsidTr="007F0B84">
        <w:tc>
          <w:tcPr>
            <w:tcW w:w="2943" w:type="dxa"/>
          </w:tcPr>
          <w:p w:rsidR="007F0B84" w:rsidRDefault="007F0B84" w:rsidP="00D10D26">
            <w:pPr>
              <w:jc w:val="both"/>
              <w:rPr>
                <w:rFonts w:cs="Arial"/>
                <w:szCs w:val="24"/>
              </w:rPr>
            </w:pPr>
            <w:r w:rsidRPr="00EF0A79">
              <w:rPr>
                <w:rFonts w:cs="Arial"/>
                <w:szCs w:val="24"/>
              </w:rPr>
              <w:t>Blackpool</w:t>
            </w:r>
          </w:p>
        </w:tc>
        <w:tc>
          <w:tcPr>
            <w:tcW w:w="1134" w:type="dxa"/>
          </w:tcPr>
          <w:p w:rsidR="007F0B84" w:rsidRDefault="007F0B84" w:rsidP="00D10D26">
            <w:pPr>
              <w:jc w:val="both"/>
              <w:rPr>
                <w:rFonts w:cs="Arial"/>
                <w:szCs w:val="24"/>
              </w:rPr>
            </w:pPr>
            <w:r w:rsidRPr="00EF0A79">
              <w:rPr>
                <w:rFonts w:cs="Arial"/>
                <w:szCs w:val="24"/>
              </w:rPr>
              <w:t>93.3%</w:t>
            </w:r>
          </w:p>
        </w:tc>
      </w:tr>
    </w:tbl>
    <w:p w:rsidR="001E3608" w:rsidRDefault="001E3608" w:rsidP="00D10D26">
      <w:pPr>
        <w:jc w:val="both"/>
        <w:rPr>
          <w:rFonts w:cs="Arial"/>
          <w:szCs w:val="24"/>
        </w:rPr>
      </w:pPr>
    </w:p>
    <w:p w:rsidR="005E3F1E" w:rsidRPr="00EF0A79" w:rsidRDefault="005E3F1E" w:rsidP="00D10D26">
      <w:pPr>
        <w:jc w:val="both"/>
        <w:rPr>
          <w:rFonts w:cs="Arial"/>
          <w:szCs w:val="24"/>
        </w:rPr>
      </w:pPr>
      <w:r w:rsidRPr="00EF0A79">
        <w:rPr>
          <w:rFonts w:cs="Arial"/>
          <w:szCs w:val="24"/>
        </w:rPr>
        <w:t>16/17 year olds participating in learning December 2014</w:t>
      </w:r>
    </w:p>
    <w:p w:rsidR="005E3F1E" w:rsidRDefault="005E3F1E" w:rsidP="00D10D26">
      <w:pPr>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394"/>
      </w:tblGrid>
      <w:tr w:rsidR="007F0B84" w:rsidTr="007F0B84">
        <w:tc>
          <w:tcPr>
            <w:tcW w:w="3085" w:type="dxa"/>
          </w:tcPr>
          <w:p w:rsidR="007F0B84" w:rsidRDefault="007F0B84" w:rsidP="00D10D26">
            <w:pPr>
              <w:jc w:val="both"/>
              <w:rPr>
                <w:rFonts w:cs="Arial"/>
                <w:szCs w:val="24"/>
              </w:rPr>
            </w:pPr>
            <w:r w:rsidRPr="00EF0A79">
              <w:rPr>
                <w:rFonts w:cs="Arial"/>
                <w:szCs w:val="24"/>
              </w:rPr>
              <w:t>England</w:t>
            </w:r>
          </w:p>
        </w:tc>
        <w:tc>
          <w:tcPr>
            <w:tcW w:w="4394" w:type="dxa"/>
          </w:tcPr>
          <w:p w:rsidR="007F0B84" w:rsidRDefault="007F0B84" w:rsidP="00D10D26">
            <w:pPr>
              <w:jc w:val="both"/>
              <w:rPr>
                <w:rFonts w:cs="Arial"/>
                <w:szCs w:val="24"/>
              </w:rPr>
            </w:pPr>
            <w:r w:rsidRPr="00EF0A79">
              <w:rPr>
                <w:rFonts w:cs="Arial"/>
                <w:szCs w:val="24"/>
              </w:rPr>
              <w:t xml:space="preserve">90.2%   +0.4% from December 2013  </w:t>
            </w:r>
          </w:p>
        </w:tc>
      </w:tr>
      <w:tr w:rsidR="007F0B84" w:rsidTr="007F0B84">
        <w:tc>
          <w:tcPr>
            <w:tcW w:w="3085" w:type="dxa"/>
          </w:tcPr>
          <w:p w:rsidR="007F0B84" w:rsidRDefault="007F0B84" w:rsidP="00D10D26">
            <w:pPr>
              <w:jc w:val="both"/>
              <w:rPr>
                <w:rFonts w:cs="Arial"/>
                <w:szCs w:val="24"/>
              </w:rPr>
            </w:pPr>
            <w:r w:rsidRPr="00EF0A79">
              <w:rPr>
                <w:rFonts w:cs="Arial"/>
                <w:szCs w:val="24"/>
              </w:rPr>
              <w:t>North-West</w:t>
            </w:r>
          </w:p>
        </w:tc>
        <w:tc>
          <w:tcPr>
            <w:tcW w:w="4394" w:type="dxa"/>
          </w:tcPr>
          <w:p w:rsidR="007F0B84" w:rsidRDefault="007F0B84" w:rsidP="00D10D26">
            <w:pPr>
              <w:jc w:val="both"/>
              <w:rPr>
                <w:rFonts w:cs="Arial"/>
                <w:szCs w:val="24"/>
              </w:rPr>
            </w:pPr>
            <w:r w:rsidRPr="00EF0A79">
              <w:rPr>
                <w:rFonts w:cs="Arial"/>
                <w:szCs w:val="24"/>
              </w:rPr>
              <w:t>90%      -0.9%</w:t>
            </w:r>
          </w:p>
        </w:tc>
      </w:tr>
      <w:tr w:rsidR="007F0B84" w:rsidTr="007F0B84">
        <w:tc>
          <w:tcPr>
            <w:tcW w:w="3085" w:type="dxa"/>
          </w:tcPr>
          <w:p w:rsidR="007F0B84" w:rsidRDefault="007F0B84" w:rsidP="00D10D26">
            <w:pPr>
              <w:jc w:val="both"/>
              <w:rPr>
                <w:rFonts w:cs="Arial"/>
                <w:szCs w:val="24"/>
              </w:rPr>
            </w:pPr>
            <w:r w:rsidRPr="00EF0A79">
              <w:rPr>
                <w:rFonts w:cs="Arial"/>
                <w:szCs w:val="24"/>
              </w:rPr>
              <w:t>Lancashire</w:t>
            </w:r>
          </w:p>
        </w:tc>
        <w:tc>
          <w:tcPr>
            <w:tcW w:w="4394" w:type="dxa"/>
          </w:tcPr>
          <w:p w:rsidR="007F0B84" w:rsidRDefault="007F0B84" w:rsidP="00D10D26">
            <w:pPr>
              <w:jc w:val="both"/>
              <w:rPr>
                <w:rFonts w:cs="Arial"/>
                <w:szCs w:val="24"/>
              </w:rPr>
            </w:pPr>
            <w:r w:rsidRPr="00EF0A79">
              <w:rPr>
                <w:rFonts w:cs="Arial"/>
                <w:szCs w:val="24"/>
              </w:rPr>
              <w:t>89.4%   +2.6%</w:t>
            </w:r>
          </w:p>
        </w:tc>
      </w:tr>
      <w:tr w:rsidR="007F0B84" w:rsidTr="007F0B84">
        <w:tc>
          <w:tcPr>
            <w:tcW w:w="3085" w:type="dxa"/>
          </w:tcPr>
          <w:p w:rsidR="007F0B84" w:rsidRDefault="007F0B84" w:rsidP="00D10D26">
            <w:pPr>
              <w:jc w:val="both"/>
              <w:rPr>
                <w:rFonts w:cs="Arial"/>
                <w:szCs w:val="24"/>
              </w:rPr>
            </w:pPr>
            <w:r w:rsidRPr="00EF0A79">
              <w:rPr>
                <w:rFonts w:cs="Arial"/>
                <w:szCs w:val="24"/>
              </w:rPr>
              <w:t xml:space="preserve">Blackburn with </w:t>
            </w:r>
            <w:proofErr w:type="spellStart"/>
            <w:r w:rsidRPr="00EF0A79">
              <w:rPr>
                <w:rFonts w:cs="Arial"/>
                <w:szCs w:val="24"/>
              </w:rPr>
              <w:t>Darwen</w:t>
            </w:r>
            <w:proofErr w:type="spellEnd"/>
          </w:p>
        </w:tc>
        <w:tc>
          <w:tcPr>
            <w:tcW w:w="4394" w:type="dxa"/>
          </w:tcPr>
          <w:p w:rsidR="007F0B84" w:rsidRDefault="007F0B84" w:rsidP="00D10D26">
            <w:pPr>
              <w:jc w:val="both"/>
              <w:rPr>
                <w:rFonts w:cs="Arial"/>
                <w:szCs w:val="24"/>
              </w:rPr>
            </w:pPr>
            <w:r w:rsidRPr="00EF0A79">
              <w:rPr>
                <w:rFonts w:cs="Arial"/>
                <w:szCs w:val="24"/>
              </w:rPr>
              <w:t>87.2%   -4.9%</w:t>
            </w:r>
          </w:p>
        </w:tc>
      </w:tr>
      <w:tr w:rsidR="007F0B84" w:rsidTr="007F0B84">
        <w:tc>
          <w:tcPr>
            <w:tcW w:w="3085" w:type="dxa"/>
          </w:tcPr>
          <w:p w:rsidR="007F0B84" w:rsidRDefault="007F0B84" w:rsidP="00D10D26">
            <w:pPr>
              <w:jc w:val="both"/>
              <w:rPr>
                <w:rFonts w:cs="Arial"/>
                <w:szCs w:val="24"/>
              </w:rPr>
            </w:pPr>
            <w:r w:rsidRPr="00EF0A79">
              <w:rPr>
                <w:rFonts w:cs="Arial"/>
                <w:szCs w:val="24"/>
              </w:rPr>
              <w:t>Blackpool</w:t>
            </w:r>
          </w:p>
        </w:tc>
        <w:tc>
          <w:tcPr>
            <w:tcW w:w="4394" w:type="dxa"/>
          </w:tcPr>
          <w:p w:rsidR="007F0B84" w:rsidRDefault="007F0B84" w:rsidP="00D10D26">
            <w:pPr>
              <w:jc w:val="both"/>
              <w:rPr>
                <w:rFonts w:cs="Arial"/>
                <w:szCs w:val="24"/>
              </w:rPr>
            </w:pPr>
            <w:r w:rsidRPr="00EF0A79">
              <w:rPr>
                <w:rFonts w:cs="Arial"/>
                <w:szCs w:val="24"/>
              </w:rPr>
              <w:t xml:space="preserve">87.4%    </w:t>
            </w:r>
            <w:r>
              <w:rPr>
                <w:rFonts w:cs="Arial"/>
                <w:szCs w:val="24"/>
              </w:rPr>
              <w:t>-2.1%</w:t>
            </w:r>
          </w:p>
        </w:tc>
      </w:tr>
    </w:tbl>
    <w:p w:rsidR="00CB176A" w:rsidRPr="00CB176A" w:rsidRDefault="00CB176A" w:rsidP="00D10D26">
      <w:pPr>
        <w:jc w:val="both"/>
        <w:rPr>
          <w:rFonts w:cs="Arial"/>
          <w:b/>
          <w:szCs w:val="24"/>
        </w:rPr>
      </w:pPr>
    </w:p>
    <w:p w:rsidR="00CB176A" w:rsidRDefault="00CB176A" w:rsidP="00D10D26">
      <w:pPr>
        <w:jc w:val="both"/>
        <w:rPr>
          <w:rFonts w:cs="Arial"/>
          <w:b/>
          <w:szCs w:val="24"/>
        </w:rPr>
      </w:pPr>
      <w:r w:rsidRPr="00CB176A">
        <w:rPr>
          <w:rFonts w:cs="Arial"/>
          <w:b/>
          <w:szCs w:val="24"/>
        </w:rPr>
        <w:t>Achievement</w:t>
      </w:r>
    </w:p>
    <w:p w:rsidR="001E3608" w:rsidRDefault="001E3608" w:rsidP="00D10D26">
      <w:pPr>
        <w:jc w:val="both"/>
        <w:rPr>
          <w:rFonts w:cs="Arial"/>
          <w:b/>
          <w:szCs w:val="24"/>
        </w:rPr>
      </w:pPr>
    </w:p>
    <w:p w:rsidR="001E3608" w:rsidRPr="001E3608" w:rsidRDefault="001E3608" w:rsidP="00D10D26">
      <w:pPr>
        <w:jc w:val="both"/>
        <w:rPr>
          <w:rFonts w:cs="Arial"/>
          <w:szCs w:val="24"/>
        </w:rPr>
      </w:pPr>
      <w:r w:rsidRPr="001E3608">
        <w:rPr>
          <w:rFonts w:cs="Arial"/>
          <w:szCs w:val="24"/>
        </w:rPr>
        <w:t>The following tables demonstrate how Lancashire compare</w:t>
      </w:r>
      <w:r w:rsidR="003302D1">
        <w:rPr>
          <w:rFonts w:cs="Arial"/>
          <w:szCs w:val="24"/>
        </w:rPr>
        <w:t>s</w:t>
      </w:r>
      <w:r w:rsidRPr="001E3608">
        <w:rPr>
          <w:rFonts w:cs="Arial"/>
          <w:szCs w:val="24"/>
        </w:rPr>
        <w:t xml:space="preserve"> with others in relation to the achievement of young people</w:t>
      </w:r>
      <w:r w:rsidR="00CE7ADF">
        <w:rPr>
          <w:rFonts w:cs="Arial"/>
          <w:szCs w:val="24"/>
        </w:rPr>
        <w:t xml:space="preserve">. </w:t>
      </w:r>
      <w:r w:rsidR="007F0B84">
        <w:rPr>
          <w:rFonts w:cs="Arial"/>
          <w:szCs w:val="24"/>
        </w:rPr>
        <w:t xml:space="preserve"> </w:t>
      </w:r>
      <w:r w:rsidR="00CE7ADF">
        <w:rPr>
          <w:rFonts w:cs="Arial"/>
          <w:szCs w:val="24"/>
        </w:rPr>
        <w:t xml:space="preserve">Level 2 equates to 5 GCSE and Level 3 to 2 </w:t>
      </w:r>
      <w:proofErr w:type="gramStart"/>
      <w:r w:rsidR="00CE7ADF">
        <w:rPr>
          <w:rFonts w:cs="Arial"/>
          <w:szCs w:val="24"/>
        </w:rPr>
        <w:t>A</w:t>
      </w:r>
      <w:proofErr w:type="gramEnd"/>
      <w:r w:rsidR="00CE7ADF">
        <w:rPr>
          <w:rFonts w:cs="Arial"/>
          <w:szCs w:val="24"/>
        </w:rPr>
        <w:t xml:space="preserve"> levels.</w:t>
      </w:r>
    </w:p>
    <w:p w:rsidR="00EF0A79" w:rsidRDefault="00EF0A79" w:rsidP="00D10D26">
      <w:pPr>
        <w:jc w:val="both"/>
        <w:rPr>
          <w:rFonts w:cs="Arial"/>
          <w:b/>
          <w:szCs w:val="24"/>
        </w:rPr>
      </w:pPr>
    </w:p>
    <w:p w:rsidR="00EF0A79" w:rsidRPr="00983442" w:rsidRDefault="00EF0A79" w:rsidP="00D10D26">
      <w:pPr>
        <w:jc w:val="both"/>
        <w:rPr>
          <w:rFonts w:cs="Arial"/>
          <w:szCs w:val="24"/>
        </w:rPr>
      </w:pPr>
      <w:r w:rsidRPr="00983442">
        <w:rPr>
          <w:rFonts w:cs="Arial"/>
          <w:szCs w:val="24"/>
        </w:rPr>
        <w:t>Young people achieving level 2 by the age of 19</w:t>
      </w:r>
    </w:p>
    <w:p w:rsidR="00E12100" w:rsidRDefault="00E12100" w:rsidP="00D10D26">
      <w:pPr>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1116"/>
        <w:gridCol w:w="1116"/>
        <w:gridCol w:w="2261"/>
        <w:gridCol w:w="1798"/>
      </w:tblGrid>
      <w:tr w:rsidR="00C36653" w:rsidTr="00C36653">
        <w:tc>
          <w:tcPr>
            <w:tcW w:w="2802" w:type="dxa"/>
          </w:tcPr>
          <w:p w:rsidR="00C36653" w:rsidRDefault="00C36653" w:rsidP="00D10D26">
            <w:pPr>
              <w:jc w:val="both"/>
              <w:rPr>
                <w:rFonts w:cs="Arial"/>
                <w:szCs w:val="24"/>
              </w:rPr>
            </w:pPr>
          </w:p>
        </w:tc>
        <w:tc>
          <w:tcPr>
            <w:tcW w:w="1134" w:type="dxa"/>
          </w:tcPr>
          <w:p w:rsidR="00C36653" w:rsidRDefault="00C36653" w:rsidP="00D10D26">
            <w:pPr>
              <w:jc w:val="both"/>
              <w:rPr>
                <w:rFonts w:cs="Arial"/>
                <w:szCs w:val="24"/>
              </w:rPr>
            </w:pPr>
            <w:r w:rsidRPr="00983442">
              <w:rPr>
                <w:rFonts w:cs="Arial"/>
                <w:szCs w:val="24"/>
              </w:rPr>
              <w:t>2013</w:t>
            </w:r>
          </w:p>
        </w:tc>
        <w:tc>
          <w:tcPr>
            <w:tcW w:w="1134" w:type="dxa"/>
          </w:tcPr>
          <w:p w:rsidR="00C36653" w:rsidRDefault="00C36653" w:rsidP="00D10D26">
            <w:pPr>
              <w:jc w:val="both"/>
              <w:rPr>
                <w:rFonts w:cs="Arial"/>
                <w:szCs w:val="24"/>
              </w:rPr>
            </w:pPr>
            <w:r w:rsidRPr="00983442">
              <w:rPr>
                <w:rFonts w:cs="Arial"/>
                <w:szCs w:val="24"/>
              </w:rPr>
              <w:t>2005</w:t>
            </w:r>
          </w:p>
        </w:tc>
        <w:tc>
          <w:tcPr>
            <w:tcW w:w="2324" w:type="dxa"/>
          </w:tcPr>
          <w:p w:rsidR="00C36653" w:rsidRDefault="00C36653" w:rsidP="00D10D26">
            <w:pPr>
              <w:jc w:val="both"/>
              <w:rPr>
                <w:rFonts w:cs="Arial"/>
                <w:szCs w:val="24"/>
              </w:rPr>
            </w:pPr>
            <w:r w:rsidRPr="00983442">
              <w:rPr>
                <w:rFonts w:cs="Arial"/>
                <w:szCs w:val="24"/>
              </w:rPr>
              <w:t>FSM eligible</w:t>
            </w:r>
            <w:r>
              <w:rPr>
                <w:rFonts w:cs="Arial"/>
                <w:szCs w:val="24"/>
              </w:rPr>
              <w:t xml:space="preserve"> </w:t>
            </w:r>
            <w:r w:rsidRPr="00983442">
              <w:rPr>
                <w:rFonts w:cs="Arial"/>
                <w:szCs w:val="24"/>
              </w:rPr>
              <w:t xml:space="preserve"> 2013</w:t>
            </w:r>
          </w:p>
        </w:tc>
        <w:tc>
          <w:tcPr>
            <w:tcW w:w="1849" w:type="dxa"/>
          </w:tcPr>
          <w:p w:rsidR="00C36653" w:rsidRDefault="00C36653" w:rsidP="00D10D26">
            <w:pPr>
              <w:jc w:val="both"/>
              <w:rPr>
                <w:rFonts w:cs="Arial"/>
                <w:szCs w:val="24"/>
              </w:rPr>
            </w:pPr>
            <w:r w:rsidRPr="00983442">
              <w:rPr>
                <w:rFonts w:cs="Arial"/>
                <w:szCs w:val="24"/>
              </w:rPr>
              <w:t>2005</w:t>
            </w:r>
          </w:p>
        </w:tc>
      </w:tr>
      <w:tr w:rsidR="00C36653" w:rsidTr="00C36653">
        <w:tc>
          <w:tcPr>
            <w:tcW w:w="2802" w:type="dxa"/>
          </w:tcPr>
          <w:p w:rsidR="00C36653" w:rsidRDefault="00C36653" w:rsidP="00D10D26">
            <w:pPr>
              <w:jc w:val="both"/>
              <w:rPr>
                <w:rFonts w:cs="Arial"/>
                <w:szCs w:val="24"/>
              </w:rPr>
            </w:pPr>
            <w:r w:rsidRPr="00983442">
              <w:rPr>
                <w:rFonts w:cs="Arial"/>
                <w:szCs w:val="24"/>
              </w:rPr>
              <w:t>England</w:t>
            </w:r>
          </w:p>
        </w:tc>
        <w:tc>
          <w:tcPr>
            <w:tcW w:w="1134" w:type="dxa"/>
          </w:tcPr>
          <w:p w:rsidR="00C36653" w:rsidRDefault="00C36653" w:rsidP="00D10D26">
            <w:pPr>
              <w:jc w:val="both"/>
              <w:rPr>
                <w:rFonts w:cs="Arial"/>
                <w:szCs w:val="24"/>
              </w:rPr>
            </w:pPr>
            <w:r w:rsidRPr="00983442">
              <w:rPr>
                <w:rFonts w:cs="Arial"/>
                <w:szCs w:val="24"/>
              </w:rPr>
              <w:t>85%</w:t>
            </w:r>
          </w:p>
        </w:tc>
        <w:tc>
          <w:tcPr>
            <w:tcW w:w="1134" w:type="dxa"/>
          </w:tcPr>
          <w:p w:rsidR="00C36653" w:rsidRDefault="00C36653" w:rsidP="00D10D26">
            <w:pPr>
              <w:jc w:val="both"/>
              <w:rPr>
                <w:rFonts w:cs="Arial"/>
                <w:szCs w:val="24"/>
              </w:rPr>
            </w:pPr>
            <w:r w:rsidRPr="00983442">
              <w:rPr>
                <w:rFonts w:cs="Arial"/>
                <w:szCs w:val="24"/>
              </w:rPr>
              <w:t>67%</w:t>
            </w:r>
          </w:p>
        </w:tc>
        <w:tc>
          <w:tcPr>
            <w:tcW w:w="2324" w:type="dxa"/>
          </w:tcPr>
          <w:p w:rsidR="00C36653" w:rsidRDefault="00C36653" w:rsidP="00D10D26">
            <w:pPr>
              <w:jc w:val="both"/>
              <w:rPr>
                <w:rFonts w:cs="Arial"/>
                <w:szCs w:val="24"/>
              </w:rPr>
            </w:pPr>
            <w:r w:rsidRPr="00983442">
              <w:rPr>
                <w:rFonts w:cs="Arial"/>
                <w:szCs w:val="24"/>
              </w:rPr>
              <w:t>71%</w:t>
            </w:r>
          </w:p>
        </w:tc>
        <w:tc>
          <w:tcPr>
            <w:tcW w:w="1849" w:type="dxa"/>
          </w:tcPr>
          <w:p w:rsidR="00C36653" w:rsidRDefault="00C36653" w:rsidP="00D10D26">
            <w:pPr>
              <w:jc w:val="both"/>
              <w:rPr>
                <w:rFonts w:cs="Arial"/>
                <w:szCs w:val="24"/>
              </w:rPr>
            </w:pPr>
            <w:r w:rsidRPr="00983442">
              <w:rPr>
                <w:rFonts w:cs="Arial"/>
                <w:szCs w:val="24"/>
              </w:rPr>
              <w:t>43%</w:t>
            </w:r>
          </w:p>
        </w:tc>
      </w:tr>
      <w:tr w:rsidR="00C36653" w:rsidTr="00C36653">
        <w:tc>
          <w:tcPr>
            <w:tcW w:w="2802" w:type="dxa"/>
          </w:tcPr>
          <w:p w:rsidR="00C36653" w:rsidRDefault="00C36653" w:rsidP="00D10D26">
            <w:pPr>
              <w:jc w:val="both"/>
              <w:rPr>
                <w:rFonts w:cs="Arial"/>
                <w:szCs w:val="24"/>
              </w:rPr>
            </w:pPr>
            <w:r w:rsidRPr="00983442">
              <w:rPr>
                <w:rFonts w:cs="Arial"/>
                <w:szCs w:val="24"/>
              </w:rPr>
              <w:t>North-West</w:t>
            </w:r>
          </w:p>
        </w:tc>
        <w:tc>
          <w:tcPr>
            <w:tcW w:w="1134" w:type="dxa"/>
          </w:tcPr>
          <w:p w:rsidR="00C36653" w:rsidRDefault="00C36653" w:rsidP="00D10D26">
            <w:pPr>
              <w:jc w:val="both"/>
              <w:rPr>
                <w:rFonts w:cs="Arial"/>
                <w:szCs w:val="24"/>
              </w:rPr>
            </w:pPr>
            <w:r w:rsidRPr="00983442">
              <w:rPr>
                <w:rFonts w:cs="Arial"/>
                <w:szCs w:val="24"/>
              </w:rPr>
              <w:t>86%</w:t>
            </w:r>
          </w:p>
        </w:tc>
        <w:tc>
          <w:tcPr>
            <w:tcW w:w="1134" w:type="dxa"/>
          </w:tcPr>
          <w:p w:rsidR="00C36653" w:rsidRDefault="00C36653" w:rsidP="00D10D26">
            <w:pPr>
              <w:jc w:val="both"/>
              <w:rPr>
                <w:rFonts w:cs="Arial"/>
                <w:szCs w:val="24"/>
              </w:rPr>
            </w:pPr>
            <w:r w:rsidRPr="00983442">
              <w:rPr>
                <w:rFonts w:cs="Arial"/>
                <w:szCs w:val="24"/>
              </w:rPr>
              <w:t>66%</w:t>
            </w:r>
          </w:p>
        </w:tc>
        <w:tc>
          <w:tcPr>
            <w:tcW w:w="2324" w:type="dxa"/>
          </w:tcPr>
          <w:p w:rsidR="00C36653" w:rsidRDefault="00C36653" w:rsidP="00D10D26">
            <w:pPr>
              <w:jc w:val="both"/>
              <w:rPr>
                <w:rFonts w:cs="Arial"/>
                <w:szCs w:val="24"/>
              </w:rPr>
            </w:pPr>
            <w:r w:rsidRPr="00983442">
              <w:rPr>
                <w:rFonts w:cs="Arial"/>
                <w:szCs w:val="24"/>
              </w:rPr>
              <w:t>71%</w:t>
            </w:r>
          </w:p>
        </w:tc>
        <w:tc>
          <w:tcPr>
            <w:tcW w:w="1849" w:type="dxa"/>
          </w:tcPr>
          <w:p w:rsidR="00C36653" w:rsidRDefault="00C36653" w:rsidP="00D10D26">
            <w:pPr>
              <w:jc w:val="both"/>
              <w:rPr>
                <w:rFonts w:cs="Arial"/>
                <w:szCs w:val="24"/>
              </w:rPr>
            </w:pPr>
            <w:r w:rsidRPr="00983442">
              <w:rPr>
                <w:rFonts w:cs="Arial"/>
                <w:szCs w:val="24"/>
              </w:rPr>
              <w:t>42%</w:t>
            </w:r>
          </w:p>
        </w:tc>
      </w:tr>
      <w:tr w:rsidR="00C36653" w:rsidTr="00C36653">
        <w:tc>
          <w:tcPr>
            <w:tcW w:w="2802" w:type="dxa"/>
          </w:tcPr>
          <w:p w:rsidR="00C36653" w:rsidRDefault="00C36653" w:rsidP="00D10D26">
            <w:pPr>
              <w:jc w:val="both"/>
              <w:rPr>
                <w:rFonts w:cs="Arial"/>
                <w:szCs w:val="24"/>
              </w:rPr>
            </w:pPr>
            <w:r w:rsidRPr="00983442">
              <w:rPr>
                <w:rFonts w:cs="Arial"/>
                <w:szCs w:val="24"/>
              </w:rPr>
              <w:t>Lancashire</w:t>
            </w:r>
          </w:p>
        </w:tc>
        <w:tc>
          <w:tcPr>
            <w:tcW w:w="1134" w:type="dxa"/>
          </w:tcPr>
          <w:p w:rsidR="00C36653" w:rsidRDefault="00C36653" w:rsidP="00D10D26">
            <w:pPr>
              <w:jc w:val="both"/>
              <w:rPr>
                <w:rFonts w:cs="Arial"/>
                <w:szCs w:val="24"/>
              </w:rPr>
            </w:pPr>
            <w:r w:rsidRPr="00983442">
              <w:rPr>
                <w:rFonts w:cs="Arial"/>
                <w:szCs w:val="24"/>
              </w:rPr>
              <w:t>88%</w:t>
            </w:r>
          </w:p>
        </w:tc>
        <w:tc>
          <w:tcPr>
            <w:tcW w:w="1134" w:type="dxa"/>
          </w:tcPr>
          <w:p w:rsidR="00C36653" w:rsidRDefault="00C36653" w:rsidP="00D10D26">
            <w:pPr>
              <w:jc w:val="both"/>
              <w:rPr>
                <w:rFonts w:cs="Arial"/>
                <w:szCs w:val="24"/>
              </w:rPr>
            </w:pPr>
            <w:r w:rsidRPr="00983442">
              <w:rPr>
                <w:rFonts w:cs="Arial"/>
                <w:szCs w:val="24"/>
              </w:rPr>
              <w:t>69%</w:t>
            </w:r>
          </w:p>
        </w:tc>
        <w:tc>
          <w:tcPr>
            <w:tcW w:w="2324" w:type="dxa"/>
          </w:tcPr>
          <w:p w:rsidR="00C36653" w:rsidRDefault="00C36653" w:rsidP="00D10D26">
            <w:pPr>
              <w:jc w:val="both"/>
              <w:rPr>
                <w:rFonts w:cs="Arial"/>
                <w:szCs w:val="24"/>
              </w:rPr>
            </w:pPr>
            <w:r w:rsidRPr="00983442">
              <w:rPr>
                <w:rFonts w:cs="Arial"/>
                <w:szCs w:val="24"/>
              </w:rPr>
              <w:t>72%</w:t>
            </w:r>
          </w:p>
        </w:tc>
        <w:tc>
          <w:tcPr>
            <w:tcW w:w="1849" w:type="dxa"/>
          </w:tcPr>
          <w:p w:rsidR="00C36653" w:rsidRDefault="00C36653" w:rsidP="00D10D26">
            <w:pPr>
              <w:jc w:val="both"/>
              <w:rPr>
                <w:rFonts w:cs="Arial"/>
                <w:szCs w:val="24"/>
              </w:rPr>
            </w:pPr>
            <w:r w:rsidRPr="00983442">
              <w:rPr>
                <w:rFonts w:cs="Arial"/>
                <w:szCs w:val="24"/>
              </w:rPr>
              <w:t>44%</w:t>
            </w:r>
          </w:p>
        </w:tc>
      </w:tr>
      <w:tr w:rsidR="00C36653" w:rsidTr="00C36653">
        <w:tc>
          <w:tcPr>
            <w:tcW w:w="2802" w:type="dxa"/>
          </w:tcPr>
          <w:p w:rsidR="00C36653" w:rsidRDefault="00C36653" w:rsidP="00D10D26">
            <w:pPr>
              <w:jc w:val="both"/>
              <w:rPr>
                <w:rFonts w:cs="Arial"/>
                <w:szCs w:val="24"/>
              </w:rPr>
            </w:pPr>
            <w:r w:rsidRPr="00983442">
              <w:rPr>
                <w:rFonts w:cs="Arial"/>
                <w:szCs w:val="24"/>
              </w:rPr>
              <w:t xml:space="preserve">Blackburn with </w:t>
            </w:r>
            <w:proofErr w:type="spellStart"/>
            <w:r w:rsidRPr="00983442">
              <w:rPr>
                <w:rFonts w:cs="Arial"/>
                <w:szCs w:val="24"/>
              </w:rPr>
              <w:t>Darwen</w:t>
            </w:r>
            <w:proofErr w:type="spellEnd"/>
          </w:p>
        </w:tc>
        <w:tc>
          <w:tcPr>
            <w:tcW w:w="1134" w:type="dxa"/>
          </w:tcPr>
          <w:p w:rsidR="00C36653" w:rsidRDefault="00C36653" w:rsidP="00D10D26">
            <w:pPr>
              <w:jc w:val="both"/>
              <w:rPr>
                <w:rFonts w:cs="Arial"/>
                <w:szCs w:val="24"/>
              </w:rPr>
            </w:pPr>
            <w:r w:rsidRPr="00983442">
              <w:rPr>
                <w:rFonts w:cs="Arial"/>
                <w:szCs w:val="24"/>
              </w:rPr>
              <w:t>84%</w:t>
            </w:r>
          </w:p>
        </w:tc>
        <w:tc>
          <w:tcPr>
            <w:tcW w:w="1134" w:type="dxa"/>
          </w:tcPr>
          <w:p w:rsidR="00C36653" w:rsidRDefault="00C36653" w:rsidP="00D10D26">
            <w:pPr>
              <w:jc w:val="both"/>
              <w:rPr>
                <w:rFonts w:cs="Arial"/>
                <w:szCs w:val="24"/>
              </w:rPr>
            </w:pPr>
            <w:r w:rsidRPr="00983442">
              <w:rPr>
                <w:rFonts w:cs="Arial"/>
                <w:szCs w:val="24"/>
              </w:rPr>
              <w:t>64%</w:t>
            </w:r>
          </w:p>
        </w:tc>
        <w:tc>
          <w:tcPr>
            <w:tcW w:w="2324" w:type="dxa"/>
          </w:tcPr>
          <w:p w:rsidR="00C36653" w:rsidRDefault="00C36653" w:rsidP="00D10D26">
            <w:pPr>
              <w:jc w:val="both"/>
              <w:rPr>
                <w:rFonts w:cs="Arial"/>
                <w:szCs w:val="24"/>
              </w:rPr>
            </w:pPr>
            <w:r w:rsidRPr="00983442">
              <w:rPr>
                <w:rFonts w:cs="Arial"/>
                <w:szCs w:val="24"/>
              </w:rPr>
              <w:t>73%</w:t>
            </w:r>
          </w:p>
        </w:tc>
        <w:tc>
          <w:tcPr>
            <w:tcW w:w="1849" w:type="dxa"/>
          </w:tcPr>
          <w:p w:rsidR="00C36653" w:rsidRDefault="00C36653" w:rsidP="00D10D26">
            <w:pPr>
              <w:jc w:val="both"/>
              <w:rPr>
                <w:rFonts w:cs="Arial"/>
                <w:szCs w:val="24"/>
              </w:rPr>
            </w:pPr>
            <w:r w:rsidRPr="00983442">
              <w:rPr>
                <w:rFonts w:cs="Arial"/>
                <w:szCs w:val="24"/>
              </w:rPr>
              <w:t>47%</w:t>
            </w:r>
          </w:p>
        </w:tc>
      </w:tr>
      <w:tr w:rsidR="00C36653" w:rsidTr="00C36653">
        <w:tc>
          <w:tcPr>
            <w:tcW w:w="2802" w:type="dxa"/>
          </w:tcPr>
          <w:p w:rsidR="00C36653" w:rsidRDefault="00C36653" w:rsidP="00D10D26">
            <w:pPr>
              <w:jc w:val="both"/>
              <w:rPr>
                <w:rFonts w:cs="Arial"/>
                <w:szCs w:val="24"/>
              </w:rPr>
            </w:pPr>
            <w:r w:rsidRPr="00983442">
              <w:rPr>
                <w:rFonts w:cs="Arial"/>
                <w:szCs w:val="24"/>
              </w:rPr>
              <w:t>Blackpool</w:t>
            </w:r>
          </w:p>
        </w:tc>
        <w:tc>
          <w:tcPr>
            <w:tcW w:w="1134" w:type="dxa"/>
          </w:tcPr>
          <w:p w:rsidR="00C36653" w:rsidRDefault="00C36653" w:rsidP="00D10D26">
            <w:pPr>
              <w:jc w:val="both"/>
              <w:rPr>
                <w:rFonts w:cs="Arial"/>
                <w:szCs w:val="24"/>
              </w:rPr>
            </w:pPr>
            <w:r w:rsidRPr="00983442">
              <w:rPr>
                <w:rFonts w:cs="Arial"/>
                <w:szCs w:val="24"/>
              </w:rPr>
              <w:t>85%</w:t>
            </w:r>
          </w:p>
        </w:tc>
        <w:tc>
          <w:tcPr>
            <w:tcW w:w="1134" w:type="dxa"/>
          </w:tcPr>
          <w:p w:rsidR="00C36653" w:rsidRDefault="00C36653" w:rsidP="00D10D26">
            <w:pPr>
              <w:jc w:val="both"/>
              <w:rPr>
                <w:rFonts w:cs="Arial"/>
                <w:szCs w:val="24"/>
              </w:rPr>
            </w:pPr>
            <w:r w:rsidRPr="00983442">
              <w:rPr>
                <w:rFonts w:cs="Arial"/>
                <w:szCs w:val="24"/>
              </w:rPr>
              <w:t>56%</w:t>
            </w:r>
          </w:p>
        </w:tc>
        <w:tc>
          <w:tcPr>
            <w:tcW w:w="2324" w:type="dxa"/>
          </w:tcPr>
          <w:p w:rsidR="00C36653" w:rsidRDefault="00C36653" w:rsidP="00D10D26">
            <w:pPr>
              <w:jc w:val="both"/>
              <w:rPr>
                <w:rFonts w:cs="Arial"/>
                <w:szCs w:val="24"/>
              </w:rPr>
            </w:pPr>
            <w:r w:rsidRPr="00983442">
              <w:rPr>
                <w:rFonts w:cs="Arial"/>
                <w:szCs w:val="24"/>
              </w:rPr>
              <w:t>72%</w:t>
            </w:r>
          </w:p>
        </w:tc>
        <w:tc>
          <w:tcPr>
            <w:tcW w:w="1849" w:type="dxa"/>
          </w:tcPr>
          <w:p w:rsidR="00C36653" w:rsidRDefault="00C36653" w:rsidP="00D10D26">
            <w:pPr>
              <w:jc w:val="both"/>
              <w:rPr>
                <w:rFonts w:cs="Arial"/>
                <w:szCs w:val="24"/>
              </w:rPr>
            </w:pPr>
            <w:r w:rsidRPr="00983442">
              <w:rPr>
                <w:rFonts w:cs="Arial"/>
                <w:szCs w:val="24"/>
              </w:rPr>
              <w:t>37%</w:t>
            </w:r>
          </w:p>
        </w:tc>
      </w:tr>
    </w:tbl>
    <w:p w:rsidR="00C36653" w:rsidRDefault="00C36653" w:rsidP="00D10D26">
      <w:pPr>
        <w:jc w:val="both"/>
        <w:rPr>
          <w:rFonts w:cs="Arial"/>
          <w:szCs w:val="24"/>
        </w:rPr>
      </w:pPr>
    </w:p>
    <w:p w:rsidR="00EF0A79" w:rsidRPr="00F34A5F" w:rsidRDefault="00EF0A79" w:rsidP="00D10D26">
      <w:pPr>
        <w:jc w:val="both"/>
        <w:rPr>
          <w:rFonts w:cs="Arial"/>
          <w:szCs w:val="24"/>
        </w:rPr>
      </w:pPr>
      <w:r w:rsidRPr="00F34A5F">
        <w:rPr>
          <w:rFonts w:cs="Arial"/>
          <w:szCs w:val="24"/>
        </w:rPr>
        <w:t>Young people achieving level 2 by the age of 19 including English and Maths</w:t>
      </w:r>
    </w:p>
    <w:p w:rsidR="00967DF1" w:rsidRDefault="00967DF1" w:rsidP="00D10D26">
      <w:pPr>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1116"/>
        <w:gridCol w:w="1116"/>
        <w:gridCol w:w="2261"/>
        <w:gridCol w:w="1798"/>
      </w:tblGrid>
      <w:tr w:rsidR="00C36653" w:rsidTr="007B7688">
        <w:tc>
          <w:tcPr>
            <w:tcW w:w="2802" w:type="dxa"/>
          </w:tcPr>
          <w:p w:rsidR="00C36653" w:rsidRDefault="00C36653" w:rsidP="007B7688">
            <w:pPr>
              <w:jc w:val="both"/>
              <w:rPr>
                <w:rFonts w:cs="Arial"/>
                <w:szCs w:val="24"/>
              </w:rPr>
            </w:pPr>
          </w:p>
        </w:tc>
        <w:tc>
          <w:tcPr>
            <w:tcW w:w="1134" w:type="dxa"/>
          </w:tcPr>
          <w:p w:rsidR="00C36653" w:rsidRDefault="00C36653" w:rsidP="007B7688">
            <w:pPr>
              <w:jc w:val="both"/>
              <w:rPr>
                <w:rFonts w:cs="Arial"/>
                <w:szCs w:val="24"/>
              </w:rPr>
            </w:pPr>
            <w:r w:rsidRPr="00983442">
              <w:rPr>
                <w:rFonts w:cs="Arial"/>
                <w:szCs w:val="24"/>
              </w:rPr>
              <w:t>2013</w:t>
            </w:r>
          </w:p>
        </w:tc>
        <w:tc>
          <w:tcPr>
            <w:tcW w:w="1134" w:type="dxa"/>
          </w:tcPr>
          <w:p w:rsidR="00C36653" w:rsidRDefault="00C36653" w:rsidP="007B7688">
            <w:pPr>
              <w:jc w:val="both"/>
              <w:rPr>
                <w:rFonts w:cs="Arial"/>
                <w:szCs w:val="24"/>
              </w:rPr>
            </w:pPr>
            <w:r w:rsidRPr="00983442">
              <w:rPr>
                <w:rFonts w:cs="Arial"/>
                <w:szCs w:val="24"/>
              </w:rPr>
              <w:t>2005</w:t>
            </w:r>
          </w:p>
        </w:tc>
        <w:tc>
          <w:tcPr>
            <w:tcW w:w="2324" w:type="dxa"/>
          </w:tcPr>
          <w:p w:rsidR="00C36653" w:rsidRDefault="00C36653" w:rsidP="007B7688">
            <w:pPr>
              <w:jc w:val="both"/>
              <w:rPr>
                <w:rFonts w:cs="Arial"/>
                <w:szCs w:val="24"/>
              </w:rPr>
            </w:pPr>
            <w:r w:rsidRPr="00983442">
              <w:rPr>
                <w:rFonts w:cs="Arial"/>
                <w:szCs w:val="24"/>
              </w:rPr>
              <w:t>FSM eligible</w:t>
            </w:r>
            <w:r>
              <w:rPr>
                <w:rFonts w:cs="Arial"/>
                <w:szCs w:val="24"/>
              </w:rPr>
              <w:t xml:space="preserve"> </w:t>
            </w:r>
            <w:r w:rsidRPr="00983442">
              <w:rPr>
                <w:rFonts w:cs="Arial"/>
                <w:szCs w:val="24"/>
              </w:rPr>
              <w:t xml:space="preserve"> 2013</w:t>
            </w:r>
          </w:p>
        </w:tc>
        <w:tc>
          <w:tcPr>
            <w:tcW w:w="1849" w:type="dxa"/>
          </w:tcPr>
          <w:p w:rsidR="00C36653" w:rsidRDefault="00C36653" w:rsidP="007B7688">
            <w:pPr>
              <w:jc w:val="both"/>
              <w:rPr>
                <w:rFonts w:cs="Arial"/>
                <w:szCs w:val="24"/>
              </w:rPr>
            </w:pPr>
            <w:r w:rsidRPr="00983442">
              <w:rPr>
                <w:rFonts w:cs="Arial"/>
                <w:szCs w:val="24"/>
              </w:rPr>
              <w:t>2005</w:t>
            </w:r>
          </w:p>
        </w:tc>
      </w:tr>
      <w:tr w:rsidR="00C36653" w:rsidTr="007B7688">
        <w:tc>
          <w:tcPr>
            <w:tcW w:w="2802" w:type="dxa"/>
          </w:tcPr>
          <w:p w:rsidR="00C36653" w:rsidRDefault="00C36653" w:rsidP="007B7688">
            <w:pPr>
              <w:jc w:val="both"/>
              <w:rPr>
                <w:rFonts w:cs="Arial"/>
                <w:szCs w:val="24"/>
              </w:rPr>
            </w:pPr>
            <w:r w:rsidRPr="00983442">
              <w:rPr>
                <w:rFonts w:cs="Arial"/>
                <w:szCs w:val="24"/>
              </w:rPr>
              <w:t>England</w:t>
            </w:r>
          </w:p>
        </w:tc>
        <w:tc>
          <w:tcPr>
            <w:tcW w:w="1134" w:type="dxa"/>
          </w:tcPr>
          <w:p w:rsidR="00C36653" w:rsidRDefault="00C36653" w:rsidP="007B7688">
            <w:pPr>
              <w:jc w:val="both"/>
              <w:rPr>
                <w:rFonts w:cs="Arial"/>
                <w:szCs w:val="24"/>
              </w:rPr>
            </w:pPr>
            <w:r w:rsidRPr="00F34A5F">
              <w:rPr>
                <w:rFonts w:cs="Arial"/>
                <w:szCs w:val="24"/>
              </w:rPr>
              <w:t>64%</w:t>
            </w:r>
          </w:p>
        </w:tc>
        <w:tc>
          <w:tcPr>
            <w:tcW w:w="1134" w:type="dxa"/>
          </w:tcPr>
          <w:p w:rsidR="00C36653" w:rsidRDefault="00C36653" w:rsidP="007B7688">
            <w:pPr>
              <w:jc w:val="both"/>
              <w:rPr>
                <w:rFonts w:cs="Arial"/>
                <w:szCs w:val="24"/>
              </w:rPr>
            </w:pPr>
            <w:r w:rsidRPr="00F34A5F">
              <w:rPr>
                <w:rFonts w:cs="Arial"/>
                <w:szCs w:val="24"/>
              </w:rPr>
              <w:t>45%</w:t>
            </w:r>
          </w:p>
        </w:tc>
        <w:tc>
          <w:tcPr>
            <w:tcW w:w="2324" w:type="dxa"/>
          </w:tcPr>
          <w:p w:rsidR="00C36653" w:rsidRDefault="00C36653" w:rsidP="007B7688">
            <w:pPr>
              <w:jc w:val="both"/>
              <w:rPr>
                <w:rFonts w:cs="Arial"/>
                <w:szCs w:val="24"/>
              </w:rPr>
            </w:pPr>
            <w:r w:rsidRPr="00F34A5F">
              <w:rPr>
                <w:rFonts w:cs="Arial"/>
                <w:szCs w:val="24"/>
              </w:rPr>
              <w:t>41%</w:t>
            </w:r>
          </w:p>
        </w:tc>
        <w:tc>
          <w:tcPr>
            <w:tcW w:w="1849" w:type="dxa"/>
          </w:tcPr>
          <w:p w:rsidR="00C36653" w:rsidRDefault="00C36653" w:rsidP="007B7688">
            <w:pPr>
              <w:jc w:val="both"/>
              <w:rPr>
                <w:rFonts w:cs="Arial"/>
                <w:szCs w:val="24"/>
              </w:rPr>
            </w:pPr>
            <w:r w:rsidRPr="00F34A5F">
              <w:rPr>
                <w:rFonts w:cs="Arial"/>
                <w:szCs w:val="24"/>
              </w:rPr>
              <w:t>20%</w:t>
            </w:r>
          </w:p>
        </w:tc>
      </w:tr>
      <w:tr w:rsidR="00C36653" w:rsidTr="007B7688">
        <w:tc>
          <w:tcPr>
            <w:tcW w:w="2802" w:type="dxa"/>
          </w:tcPr>
          <w:p w:rsidR="00C36653" w:rsidRDefault="00C36653" w:rsidP="007B7688">
            <w:pPr>
              <w:jc w:val="both"/>
              <w:rPr>
                <w:rFonts w:cs="Arial"/>
                <w:szCs w:val="24"/>
              </w:rPr>
            </w:pPr>
            <w:r w:rsidRPr="00983442">
              <w:rPr>
                <w:rFonts w:cs="Arial"/>
                <w:szCs w:val="24"/>
              </w:rPr>
              <w:t>North-West</w:t>
            </w:r>
          </w:p>
        </w:tc>
        <w:tc>
          <w:tcPr>
            <w:tcW w:w="1134" w:type="dxa"/>
          </w:tcPr>
          <w:p w:rsidR="00C36653" w:rsidRDefault="00C36653" w:rsidP="007B7688">
            <w:pPr>
              <w:jc w:val="both"/>
              <w:rPr>
                <w:rFonts w:cs="Arial"/>
                <w:szCs w:val="24"/>
              </w:rPr>
            </w:pPr>
            <w:r w:rsidRPr="00F34A5F">
              <w:rPr>
                <w:rFonts w:cs="Arial"/>
                <w:szCs w:val="24"/>
              </w:rPr>
              <w:t>65%</w:t>
            </w:r>
          </w:p>
        </w:tc>
        <w:tc>
          <w:tcPr>
            <w:tcW w:w="1134" w:type="dxa"/>
          </w:tcPr>
          <w:p w:rsidR="00C36653" w:rsidRDefault="00C36653" w:rsidP="007B7688">
            <w:pPr>
              <w:jc w:val="both"/>
              <w:rPr>
                <w:rFonts w:cs="Arial"/>
                <w:szCs w:val="24"/>
              </w:rPr>
            </w:pPr>
            <w:r w:rsidRPr="00F34A5F">
              <w:rPr>
                <w:rFonts w:cs="Arial"/>
                <w:szCs w:val="24"/>
              </w:rPr>
              <w:t>45%</w:t>
            </w:r>
          </w:p>
        </w:tc>
        <w:tc>
          <w:tcPr>
            <w:tcW w:w="2324" w:type="dxa"/>
          </w:tcPr>
          <w:p w:rsidR="00C36653" w:rsidRDefault="00C36653" w:rsidP="007B7688">
            <w:pPr>
              <w:jc w:val="both"/>
              <w:rPr>
                <w:rFonts w:cs="Arial"/>
                <w:szCs w:val="24"/>
              </w:rPr>
            </w:pPr>
            <w:r w:rsidRPr="00F34A5F">
              <w:rPr>
                <w:rFonts w:cs="Arial"/>
                <w:szCs w:val="24"/>
              </w:rPr>
              <w:t>40%</w:t>
            </w:r>
          </w:p>
        </w:tc>
        <w:tc>
          <w:tcPr>
            <w:tcW w:w="1849" w:type="dxa"/>
          </w:tcPr>
          <w:p w:rsidR="00C36653" w:rsidRDefault="00C36653" w:rsidP="007B7688">
            <w:pPr>
              <w:jc w:val="both"/>
              <w:rPr>
                <w:rFonts w:cs="Arial"/>
                <w:szCs w:val="24"/>
              </w:rPr>
            </w:pPr>
            <w:r w:rsidRPr="00F34A5F">
              <w:rPr>
                <w:rFonts w:cs="Arial"/>
                <w:szCs w:val="24"/>
              </w:rPr>
              <w:t>20%</w:t>
            </w:r>
          </w:p>
        </w:tc>
      </w:tr>
      <w:tr w:rsidR="00C36653" w:rsidTr="007B7688">
        <w:tc>
          <w:tcPr>
            <w:tcW w:w="2802" w:type="dxa"/>
          </w:tcPr>
          <w:p w:rsidR="00C36653" w:rsidRDefault="00C36653" w:rsidP="007B7688">
            <w:pPr>
              <w:jc w:val="both"/>
              <w:rPr>
                <w:rFonts w:cs="Arial"/>
                <w:szCs w:val="24"/>
              </w:rPr>
            </w:pPr>
            <w:r w:rsidRPr="00983442">
              <w:rPr>
                <w:rFonts w:cs="Arial"/>
                <w:szCs w:val="24"/>
              </w:rPr>
              <w:t>Lancashire</w:t>
            </w:r>
          </w:p>
        </w:tc>
        <w:tc>
          <w:tcPr>
            <w:tcW w:w="1134" w:type="dxa"/>
          </w:tcPr>
          <w:p w:rsidR="00C36653" w:rsidRDefault="00C36653" w:rsidP="007B7688">
            <w:pPr>
              <w:jc w:val="both"/>
              <w:rPr>
                <w:rFonts w:cs="Arial"/>
                <w:szCs w:val="24"/>
              </w:rPr>
            </w:pPr>
            <w:r w:rsidRPr="00F34A5F">
              <w:rPr>
                <w:rFonts w:cs="Arial"/>
                <w:szCs w:val="24"/>
              </w:rPr>
              <w:t>68%</w:t>
            </w:r>
          </w:p>
        </w:tc>
        <w:tc>
          <w:tcPr>
            <w:tcW w:w="1134" w:type="dxa"/>
          </w:tcPr>
          <w:p w:rsidR="00C36653" w:rsidRDefault="00C36653" w:rsidP="007B7688">
            <w:pPr>
              <w:jc w:val="both"/>
              <w:rPr>
                <w:rFonts w:cs="Arial"/>
                <w:szCs w:val="24"/>
              </w:rPr>
            </w:pPr>
            <w:r w:rsidRPr="00F34A5F">
              <w:rPr>
                <w:rFonts w:cs="Arial"/>
                <w:szCs w:val="24"/>
              </w:rPr>
              <w:t>50%</w:t>
            </w:r>
          </w:p>
        </w:tc>
        <w:tc>
          <w:tcPr>
            <w:tcW w:w="2324" w:type="dxa"/>
          </w:tcPr>
          <w:p w:rsidR="00C36653" w:rsidRDefault="00C36653" w:rsidP="007B7688">
            <w:pPr>
              <w:jc w:val="both"/>
              <w:rPr>
                <w:rFonts w:cs="Arial"/>
                <w:szCs w:val="24"/>
              </w:rPr>
            </w:pPr>
            <w:r w:rsidRPr="00F34A5F">
              <w:rPr>
                <w:rFonts w:cs="Arial"/>
                <w:szCs w:val="24"/>
              </w:rPr>
              <w:t>42%</w:t>
            </w:r>
          </w:p>
        </w:tc>
        <w:tc>
          <w:tcPr>
            <w:tcW w:w="1849" w:type="dxa"/>
          </w:tcPr>
          <w:p w:rsidR="00C36653" w:rsidRDefault="00C36653" w:rsidP="007B7688">
            <w:pPr>
              <w:jc w:val="both"/>
              <w:rPr>
                <w:rFonts w:cs="Arial"/>
                <w:szCs w:val="24"/>
              </w:rPr>
            </w:pPr>
            <w:r w:rsidRPr="00F34A5F">
              <w:rPr>
                <w:rFonts w:cs="Arial"/>
                <w:szCs w:val="24"/>
              </w:rPr>
              <w:t>23%</w:t>
            </w:r>
          </w:p>
        </w:tc>
      </w:tr>
      <w:tr w:rsidR="00C36653" w:rsidTr="007B7688">
        <w:tc>
          <w:tcPr>
            <w:tcW w:w="2802" w:type="dxa"/>
          </w:tcPr>
          <w:p w:rsidR="00C36653" w:rsidRDefault="00C36653" w:rsidP="007B7688">
            <w:pPr>
              <w:jc w:val="both"/>
              <w:rPr>
                <w:rFonts w:cs="Arial"/>
                <w:szCs w:val="24"/>
              </w:rPr>
            </w:pPr>
            <w:r w:rsidRPr="00983442">
              <w:rPr>
                <w:rFonts w:cs="Arial"/>
                <w:szCs w:val="24"/>
              </w:rPr>
              <w:t xml:space="preserve">Blackburn with </w:t>
            </w:r>
            <w:proofErr w:type="spellStart"/>
            <w:r w:rsidRPr="00983442">
              <w:rPr>
                <w:rFonts w:cs="Arial"/>
                <w:szCs w:val="24"/>
              </w:rPr>
              <w:t>Darwen</w:t>
            </w:r>
            <w:proofErr w:type="spellEnd"/>
          </w:p>
        </w:tc>
        <w:tc>
          <w:tcPr>
            <w:tcW w:w="1134" w:type="dxa"/>
          </w:tcPr>
          <w:p w:rsidR="00C36653" w:rsidRDefault="00C36653" w:rsidP="007B7688">
            <w:pPr>
              <w:jc w:val="both"/>
              <w:rPr>
                <w:rFonts w:cs="Arial"/>
                <w:szCs w:val="24"/>
              </w:rPr>
            </w:pPr>
            <w:r w:rsidRPr="00F34A5F">
              <w:rPr>
                <w:rFonts w:cs="Arial"/>
                <w:szCs w:val="24"/>
              </w:rPr>
              <w:t>61%</w:t>
            </w:r>
          </w:p>
        </w:tc>
        <w:tc>
          <w:tcPr>
            <w:tcW w:w="1134" w:type="dxa"/>
          </w:tcPr>
          <w:p w:rsidR="00C36653" w:rsidRDefault="00C36653" w:rsidP="007B7688">
            <w:pPr>
              <w:jc w:val="both"/>
              <w:rPr>
                <w:rFonts w:cs="Arial"/>
                <w:szCs w:val="24"/>
              </w:rPr>
            </w:pPr>
            <w:r w:rsidRPr="00F34A5F">
              <w:rPr>
                <w:rFonts w:cs="Arial"/>
                <w:szCs w:val="24"/>
              </w:rPr>
              <w:t>40%</w:t>
            </w:r>
          </w:p>
        </w:tc>
        <w:tc>
          <w:tcPr>
            <w:tcW w:w="2324" w:type="dxa"/>
          </w:tcPr>
          <w:p w:rsidR="00C36653" w:rsidRDefault="00C36653" w:rsidP="007B7688">
            <w:pPr>
              <w:jc w:val="both"/>
              <w:rPr>
                <w:rFonts w:cs="Arial"/>
                <w:szCs w:val="24"/>
              </w:rPr>
            </w:pPr>
            <w:r w:rsidRPr="00F34A5F">
              <w:rPr>
                <w:rFonts w:cs="Arial"/>
                <w:szCs w:val="24"/>
              </w:rPr>
              <w:t>48%</w:t>
            </w:r>
          </w:p>
        </w:tc>
        <w:tc>
          <w:tcPr>
            <w:tcW w:w="1849" w:type="dxa"/>
          </w:tcPr>
          <w:p w:rsidR="00C36653" w:rsidRDefault="00C36653" w:rsidP="007B7688">
            <w:pPr>
              <w:jc w:val="both"/>
              <w:rPr>
                <w:rFonts w:cs="Arial"/>
                <w:szCs w:val="24"/>
              </w:rPr>
            </w:pPr>
            <w:r w:rsidRPr="00F34A5F">
              <w:rPr>
                <w:rFonts w:cs="Arial"/>
                <w:szCs w:val="24"/>
              </w:rPr>
              <w:t>24%</w:t>
            </w:r>
          </w:p>
        </w:tc>
      </w:tr>
      <w:tr w:rsidR="00C36653" w:rsidTr="007B7688">
        <w:tc>
          <w:tcPr>
            <w:tcW w:w="2802" w:type="dxa"/>
          </w:tcPr>
          <w:p w:rsidR="00C36653" w:rsidRDefault="00C36653" w:rsidP="007B7688">
            <w:pPr>
              <w:jc w:val="both"/>
              <w:rPr>
                <w:rFonts w:cs="Arial"/>
                <w:szCs w:val="24"/>
              </w:rPr>
            </w:pPr>
            <w:r w:rsidRPr="00983442">
              <w:rPr>
                <w:rFonts w:cs="Arial"/>
                <w:szCs w:val="24"/>
              </w:rPr>
              <w:t>Blackpool</w:t>
            </w:r>
          </w:p>
        </w:tc>
        <w:tc>
          <w:tcPr>
            <w:tcW w:w="1134" w:type="dxa"/>
          </w:tcPr>
          <w:p w:rsidR="00C36653" w:rsidRDefault="00C36653" w:rsidP="007B7688">
            <w:pPr>
              <w:jc w:val="both"/>
              <w:rPr>
                <w:rFonts w:cs="Arial"/>
                <w:szCs w:val="24"/>
              </w:rPr>
            </w:pPr>
            <w:r w:rsidRPr="00F34A5F">
              <w:rPr>
                <w:rFonts w:cs="Arial"/>
                <w:szCs w:val="24"/>
              </w:rPr>
              <w:t>53%</w:t>
            </w:r>
          </w:p>
        </w:tc>
        <w:tc>
          <w:tcPr>
            <w:tcW w:w="1134" w:type="dxa"/>
          </w:tcPr>
          <w:p w:rsidR="00C36653" w:rsidRDefault="00C36653" w:rsidP="007B7688">
            <w:pPr>
              <w:jc w:val="both"/>
              <w:rPr>
                <w:rFonts w:cs="Arial"/>
                <w:szCs w:val="24"/>
              </w:rPr>
            </w:pPr>
            <w:r w:rsidRPr="00F34A5F">
              <w:rPr>
                <w:rFonts w:cs="Arial"/>
                <w:szCs w:val="24"/>
              </w:rPr>
              <w:t>35%</w:t>
            </w:r>
          </w:p>
        </w:tc>
        <w:tc>
          <w:tcPr>
            <w:tcW w:w="2324" w:type="dxa"/>
          </w:tcPr>
          <w:p w:rsidR="00C36653" w:rsidRDefault="00C36653" w:rsidP="007B7688">
            <w:pPr>
              <w:jc w:val="both"/>
              <w:rPr>
                <w:rFonts w:cs="Arial"/>
                <w:szCs w:val="24"/>
              </w:rPr>
            </w:pPr>
            <w:r w:rsidRPr="00F34A5F">
              <w:rPr>
                <w:rFonts w:cs="Arial"/>
                <w:szCs w:val="24"/>
              </w:rPr>
              <w:t>33%</w:t>
            </w:r>
          </w:p>
        </w:tc>
        <w:tc>
          <w:tcPr>
            <w:tcW w:w="1849" w:type="dxa"/>
          </w:tcPr>
          <w:p w:rsidR="00C36653" w:rsidRDefault="000A4C3B" w:rsidP="007B7688">
            <w:pPr>
              <w:jc w:val="both"/>
              <w:rPr>
                <w:rFonts w:cs="Arial"/>
                <w:szCs w:val="24"/>
              </w:rPr>
            </w:pPr>
            <w:r w:rsidRPr="00F34A5F">
              <w:rPr>
                <w:rFonts w:cs="Arial"/>
                <w:szCs w:val="24"/>
              </w:rPr>
              <w:t>16%</w:t>
            </w:r>
          </w:p>
        </w:tc>
      </w:tr>
    </w:tbl>
    <w:p w:rsidR="00C36653" w:rsidRDefault="00C36653" w:rsidP="00D10D26">
      <w:pPr>
        <w:jc w:val="both"/>
        <w:rPr>
          <w:rFonts w:cs="Arial"/>
          <w:szCs w:val="24"/>
        </w:rPr>
      </w:pPr>
    </w:p>
    <w:p w:rsidR="00EF0A79" w:rsidRPr="00F34A5F" w:rsidRDefault="000A4C3B" w:rsidP="00D10D26">
      <w:pPr>
        <w:jc w:val="both"/>
        <w:rPr>
          <w:rFonts w:cs="Arial"/>
          <w:szCs w:val="24"/>
        </w:rPr>
      </w:pPr>
      <w:r>
        <w:rPr>
          <w:rFonts w:cs="Arial"/>
          <w:szCs w:val="24"/>
        </w:rPr>
        <w:br w:type="page"/>
      </w:r>
      <w:r w:rsidR="00EF0A79" w:rsidRPr="00F34A5F">
        <w:rPr>
          <w:rFonts w:cs="Arial"/>
          <w:szCs w:val="24"/>
        </w:rPr>
        <w:lastRenderedPageBreak/>
        <w:t>Young People achieving level 3 by the age of 19</w:t>
      </w:r>
    </w:p>
    <w:p w:rsidR="000053B6" w:rsidRDefault="000053B6" w:rsidP="00D10D26">
      <w:pPr>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1116"/>
        <w:gridCol w:w="1116"/>
        <w:gridCol w:w="2261"/>
        <w:gridCol w:w="1798"/>
      </w:tblGrid>
      <w:tr w:rsidR="000A4C3B" w:rsidTr="007B7688">
        <w:tc>
          <w:tcPr>
            <w:tcW w:w="2802" w:type="dxa"/>
          </w:tcPr>
          <w:p w:rsidR="000A4C3B" w:rsidRDefault="000A4C3B" w:rsidP="007B7688">
            <w:pPr>
              <w:jc w:val="both"/>
              <w:rPr>
                <w:rFonts w:cs="Arial"/>
                <w:szCs w:val="24"/>
              </w:rPr>
            </w:pPr>
          </w:p>
        </w:tc>
        <w:tc>
          <w:tcPr>
            <w:tcW w:w="1134" w:type="dxa"/>
          </w:tcPr>
          <w:p w:rsidR="000A4C3B" w:rsidRDefault="000A4C3B" w:rsidP="007B7688">
            <w:pPr>
              <w:jc w:val="both"/>
              <w:rPr>
                <w:rFonts w:cs="Arial"/>
                <w:szCs w:val="24"/>
              </w:rPr>
            </w:pPr>
            <w:r w:rsidRPr="00983442">
              <w:rPr>
                <w:rFonts w:cs="Arial"/>
                <w:szCs w:val="24"/>
              </w:rPr>
              <w:t>2013</w:t>
            </w:r>
          </w:p>
        </w:tc>
        <w:tc>
          <w:tcPr>
            <w:tcW w:w="1134" w:type="dxa"/>
          </w:tcPr>
          <w:p w:rsidR="000A4C3B" w:rsidRDefault="000A4C3B" w:rsidP="007B7688">
            <w:pPr>
              <w:jc w:val="both"/>
              <w:rPr>
                <w:rFonts w:cs="Arial"/>
                <w:szCs w:val="24"/>
              </w:rPr>
            </w:pPr>
            <w:r w:rsidRPr="00983442">
              <w:rPr>
                <w:rFonts w:cs="Arial"/>
                <w:szCs w:val="24"/>
              </w:rPr>
              <w:t>2005</w:t>
            </w:r>
          </w:p>
        </w:tc>
        <w:tc>
          <w:tcPr>
            <w:tcW w:w="2324" w:type="dxa"/>
          </w:tcPr>
          <w:p w:rsidR="000A4C3B" w:rsidRDefault="000A4C3B" w:rsidP="007B7688">
            <w:pPr>
              <w:jc w:val="both"/>
              <w:rPr>
                <w:rFonts w:cs="Arial"/>
                <w:szCs w:val="24"/>
              </w:rPr>
            </w:pPr>
            <w:r w:rsidRPr="00983442">
              <w:rPr>
                <w:rFonts w:cs="Arial"/>
                <w:szCs w:val="24"/>
              </w:rPr>
              <w:t>FSM eligible</w:t>
            </w:r>
            <w:r>
              <w:rPr>
                <w:rFonts w:cs="Arial"/>
                <w:szCs w:val="24"/>
              </w:rPr>
              <w:t xml:space="preserve"> </w:t>
            </w:r>
            <w:r w:rsidRPr="00983442">
              <w:rPr>
                <w:rFonts w:cs="Arial"/>
                <w:szCs w:val="24"/>
              </w:rPr>
              <w:t xml:space="preserve"> 2013</w:t>
            </w:r>
          </w:p>
        </w:tc>
        <w:tc>
          <w:tcPr>
            <w:tcW w:w="1849" w:type="dxa"/>
          </w:tcPr>
          <w:p w:rsidR="000A4C3B" w:rsidRDefault="000A4C3B" w:rsidP="007B7688">
            <w:pPr>
              <w:jc w:val="both"/>
              <w:rPr>
                <w:rFonts w:cs="Arial"/>
                <w:szCs w:val="24"/>
              </w:rPr>
            </w:pPr>
            <w:r w:rsidRPr="00983442">
              <w:rPr>
                <w:rFonts w:cs="Arial"/>
                <w:szCs w:val="24"/>
              </w:rPr>
              <w:t>2005</w:t>
            </w:r>
          </w:p>
        </w:tc>
      </w:tr>
      <w:tr w:rsidR="000A4C3B" w:rsidTr="007B7688">
        <w:tc>
          <w:tcPr>
            <w:tcW w:w="2802" w:type="dxa"/>
          </w:tcPr>
          <w:p w:rsidR="000A4C3B" w:rsidRDefault="000A4C3B" w:rsidP="007B7688">
            <w:pPr>
              <w:jc w:val="both"/>
              <w:rPr>
                <w:rFonts w:cs="Arial"/>
                <w:szCs w:val="24"/>
              </w:rPr>
            </w:pPr>
            <w:r w:rsidRPr="00983442">
              <w:rPr>
                <w:rFonts w:cs="Arial"/>
                <w:szCs w:val="24"/>
              </w:rPr>
              <w:t>England</w:t>
            </w:r>
          </w:p>
        </w:tc>
        <w:tc>
          <w:tcPr>
            <w:tcW w:w="1134" w:type="dxa"/>
          </w:tcPr>
          <w:p w:rsidR="000A4C3B" w:rsidRDefault="000A4C3B" w:rsidP="007B7688">
            <w:pPr>
              <w:jc w:val="both"/>
              <w:rPr>
                <w:rFonts w:cs="Arial"/>
                <w:szCs w:val="24"/>
              </w:rPr>
            </w:pPr>
            <w:r w:rsidRPr="00F34A5F">
              <w:rPr>
                <w:rFonts w:cs="Arial"/>
                <w:szCs w:val="24"/>
              </w:rPr>
              <w:t>56%</w:t>
            </w:r>
          </w:p>
        </w:tc>
        <w:tc>
          <w:tcPr>
            <w:tcW w:w="1134" w:type="dxa"/>
          </w:tcPr>
          <w:p w:rsidR="000A4C3B" w:rsidRDefault="000A4C3B" w:rsidP="007B7688">
            <w:pPr>
              <w:jc w:val="both"/>
              <w:rPr>
                <w:rFonts w:cs="Arial"/>
                <w:szCs w:val="24"/>
              </w:rPr>
            </w:pPr>
            <w:r w:rsidRPr="00F34A5F">
              <w:rPr>
                <w:rFonts w:cs="Arial"/>
                <w:szCs w:val="24"/>
              </w:rPr>
              <w:t>42%</w:t>
            </w:r>
          </w:p>
        </w:tc>
        <w:tc>
          <w:tcPr>
            <w:tcW w:w="2324" w:type="dxa"/>
          </w:tcPr>
          <w:p w:rsidR="000A4C3B" w:rsidRDefault="000A4C3B" w:rsidP="007B7688">
            <w:pPr>
              <w:jc w:val="both"/>
              <w:rPr>
                <w:rFonts w:cs="Arial"/>
                <w:szCs w:val="24"/>
              </w:rPr>
            </w:pPr>
            <w:r w:rsidRPr="00F34A5F">
              <w:rPr>
                <w:rFonts w:cs="Arial"/>
                <w:szCs w:val="24"/>
              </w:rPr>
              <w:t>35%</w:t>
            </w:r>
          </w:p>
        </w:tc>
        <w:tc>
          <w:tcPr>
            <w:tcW w:w="1849" w:type="dxa"/>
          </w:tcPr>
          <w:p w:rsidR="000A4C3B" w:rsidRDefault="000A4C3B" w:rsidP="007B7688">
            <w:pPr>
              <w:jc w:val="both"/>
              <w:rPr>
                <w:rFonts w:cs="Arial"/>
                <w:szCs w:val="24"/>
              </w:rPr>
            </w:pPr>
            <w:r w:rsidRPr="00F34A5F">
              <w:rPr>
                <w:rFonts w:cs="Arial"/>
                <w:szCs w:val="24"/>
              </w:rPr>
              <w:t>20%</w:t>
            </w:r>
          </w:p>
        </w:tc>
      </w:tr>
      <w:tr w:rsidR="000A4C3B" w:rsidTr="007B7688">
        <w:tc>
          <w:tcPr>
            <w:tcW w:w="2802" w:type="dxa"/>
          </w:tcPr>
          <w:p w:rsidR="000A4C3B" w:rsidRDefault="000A4C3B" w:rsidP="007B7688">
            <w:pPr>
              <w:jc w:val="both"/>
              <w:rPr>
                <w:rFonts w:cs="Arial"/>
                <w:szCs w:val="24"/>
              </w:rPr>
            </w:pPr>
            <w:r w:rsidRPr="00983442">
              <w:rPr>
                <w:rFonts w:cs="Arial"/>
                <w:szCs w:val="24"/>
              </w:rPr>
              <w:t>North-West</w:t>
            </w:r>
          </w:p>
        </w:tc>
        <w:tc>
          <w:tcPr>
            <w:tcW w:w="1134" w:type="dxa"/>
          </w:tcPr>
          <w:p w:rsidR="000A4C3B" w:rsidRDefault="000A4C3B" w:rsidP="007B7688">
            <w:pPr>
              <w:jc w:val="both"/>
              <w:rPr>
                <w:rFonts w:cs="Arial"/>
                <w:szCs w:val="24"/>
              </w:rPr>
            </w:pPr>
            <w:r w:rsidRPr="00F34A5F">
              <w:rPr>
                <w:rFonts w:cs="Arial"/>
                <w:szCs w:val="24"/>
              </w:rPr>
              <w:t>56%</w:t>
            </w:r>
          </w:p>
        </w:tc>
        <w:tc>
          <w:tcPr>
            <w:tcW w:w="1134" w:type="dxa"/>
          </w:tcPr>
          <w:p w:rsidR="000A4C3B" w:rsidRDefault="000A4C3B" w:rsidP="007B7688">
            <w:pPr>
              <w:jc w:val="both"/>
              <w:rPr>
                <w:rFonts w:cs="Arial"/>
                <w:szCs w:val="24"/>
              </w:rPr>
            </w:pPr>
            <w:r w:rsidRPr="00F34A5F">
              <w:rPr>
                <w:rFonts w:cs="Arial"/>
                <w:szCs w:val="24"/>
              </w:rPr>
              <w:t>40%</w:t>
            </w:r>
          </w:p>
        </w:tc>
        <w:tc>
          <w:tcPr>
            <w:tcW w:w="2324" w:type="dxa"/>
          </w:tcPr>
          <w:p w:rsidR="000A4C3B" w:rsidRDefault="000A4C3B" w:rsidP="007B7688">
            <w:pPr>
              <w:jc w:val="both"/>
              <w:rPr>
                <w:rFonts w:cs="Arial"/>
                <w:szCs w:val="24"/>
              </w:rPr>
            </w:pPr>
            <w:r w:rsidRPr="00F34A5F">
              <w:rPr>
                <w:rFonts w:cs="Arial"/>
                <w:szCs w:val="24"/>
              </w:rPr>
              <w:t>33%</w:t>
            </w:r>
          </w:p>
        </w:tc>
        <w:tc>
          <w:tcPr>
            <w:tcW w:w="1849" w:type="dxa"/>
          </w:tcPr>
          <w:p w:rsidR="000A4C3B" w:rsidRDefault="000A4C3B" w:rsidP="007B7688">
            <w:pPr>
              <w:jc w:val="both"/>
              <w:rPr>
                <w:rFonts w:cs="Arial"/>
                <w:szCs w:val="24"/>
              </w:rPr>
            </w:pPr>
            <w:r w:rsidRPr="00F34A5F">
              <w:rPr>
                <w:rFonts w:cs="Arial"/>
                <w:szCs w:val="24"/>
              </w:rPr>
              <w:t>18%</w:t>
            </w:r>
          </w:p>
        </w:tc>
      </w:tr>
      <w:tr w:rsidR="000A4C3B" w:rsidTr="007B7688">
        <w:tc>
          <w:tcPr>
            <w:tcW w:w="2802" w:type="dxa"/>
          </w:tcPr>
          <w:p w:rsidR="000A4C3B" w:rsidRDefault="000A4C3B" w:rsidP="007B7688">
            <w:pPr>
              <w:jc w:val="both"/>
              <w:rPr>
                <w:rFonts w:cs="Arial"/>
                <w:szCs w:val="24"/>
              </w:rPr>
            </w:pPr>
            <w:r w:rsidRPr="00983442">
              <w:rPr>
                <w:rFonts w:cs="Arial"/>
                <w:szCs w:val="24"/>
              </w:rPr>
              <w:t>Lancashire</w:t>
            </w:r>
          </w:p>
        </w:tc>
        <w:tc>
          <w:tcPr>
            <w:tcW w:w="1134" w:type="dxa"/>
          </w:tcPr>
          <w:p w:rsidR="000A4C3B" w:rsidRDefault="000A4C3B" w:rsidP="007B7688">
            <w:pPr>
              <w:jc w:val="both"/>
              <w:rPr>
                <w:rFonts w:cs="Arial"/>
                <w:szCs w:val="24"/>
              </w:rPr>
            </w:pPr>
            <w:r w:rsidRPr="00F34A5F">
              <w:rPr>
                <w:rFonts w:cs="Arial"/>
                <w:szCs w:val="24"/>
              </w:rPr>
              <w:t>59%</w:t>
            </w:r>
          </w:p>
        </w:tc>
        <w:tc>
          <w:tcPr>
            <w:tcW w:w="1134" w:type="dxa"/>
          </w:tcPr>
          <w:p w:rsidR="000A4C3B" w:rsidRDefault="000A4C3B" w:rsidP="007B7688">
            <w:pPr>
              <w:jc w:val="both"/>
              <w:rPr>
                <w:rFonts w:cs="Arial"/>
                <w:szCs w:val="24"/>
              </w:rPr>
            </w:pPr>
            <w:r w:rsidRPr="00F34A5F">
              <w:rPr>
                <w:rFonts w:cs="Arial"/>
                <w:szCs w:val="24"/>
              </w:rPr>
              <w:t xml:space="preserve">44%   </w:t>
            </w:r>
          </w:p>
        </w:tc>
        <w:tc>
          <w:tcPr>
            <w:tcW w:w="2324" w:type="dxa"/>
          </w:tcPr>
          <w:p w:rsidR="000A4C3B" w:rsidRDefault="000A4C3B" w:rsidP="007B7688">
            <w:pPr>
              <w:jc w:val="both"/>
              <w:rPr>
                <w:rFonts w:cs="Arial"/>
                <w:szCs w:val="24"/>
              </w:rPr>
            </w:pPr>
            <w:r w:rsidRPr="00F34A5F">
              <w:rPr>
                <w:rFonts w:cs="Arial"/>
                <w:szCs w:val="24"/>
              </w:rPr>
              <w:t>33%</w:t>
            </w:r>
          </w:p>
        </w:tc>
        <w:tc>
          <w:tcPr>
            <w:tcW w:w="1849" w:type="dxa"/>
          </w:tcPr>
          <w:p w:rsidR="000A4C3B" w:rsidRDefault="000A4C3B" w:rsidP="007B7688">
            <w:pPr>
              <w:jc w:val="both"/>
              <w:rPr>
                <w:rFonts w:cs="Arial"/>
                <w:szCs w:val="24"/>
              </w:rPr>
            </w:pPr>
            <w:r w:rsidRPr="00F34A5F">
              <w:rPr>
                <w:rFonts w:cs="Arial"/>
                <w:szCs w:val="24"/>
              </w:rPr>
              <w:t>21%</w:t>
            </w:r>
          </w:p>
        </w:tc>
      </w:tr>
      <w:tr w:rsidR="000A4C3B" w:rsidTr="007B7688">
        <w:tc>
          <w:tcPr>
            <w:tcW w:w="2802" w:type="dxa"/>
          </w:tcPr>
          <w:p w:rsidR="000A4C3B" w:rsidRDefault="000A4C3B" w:rsidP="007B7688">
            <w:pPr>
              <w:jc w:val="both"/>
              <w:rPr>
                <w:rFonts w:cs="Arial"/>
                <w:szCs w:val="24"/>
              </w:rPr>
            </w:pPr>
            <w:r w:rsidRPr="00983442">
              <w:rPr>
                <w:rFonts w:cs="Arial"/>
                <w:szCs w:val="24"/>
              </w:rPr>
              <w:t xml:space="preserve">Blackburn with </w:t>
            </w:r>
            <w:proofErr w:type="spellStart"/>
            <w:r w:rsidRPr="00983442">
              <w:rPr>
                <w:rFonts w:cs="Arial"/>
                <w:szCs w:val="24"/>
              </w:rPr>
              <w:t>Darwen</w:t>
            </w:r>
            <w:proofErr w:type="spellEnd"/>
          </w:p>
        </w:tc>
        <w:tc>
          <w:tcPr>
            <w:tcW w:w="1134" w:type="dxa"/>
          </w:tcPr>
          <w:p w:rsidR="000A4C3B" w:rsidRDefault="000A4C3B" w:rsidP="007B7688">
            <w:pPr>
              <w:jc w:val="both"/>
              <w:rPr>
                <w:rFonts w:cs="Arial"/>
                <w:szCs w:val="24"/>
              </w:rPr>
            </w:pPr>
            <w:r w:rsidRPr="00F34A5F">
              <w:rPr>
                <w:rFonts w:cs="Arial"/>
                <w:szCs w:val="24"/>
              </w:rPr>
              <w:t>57%</w:t>
            </w:r>
          </w:p>
        </w:tc>
        <w:tc>
          <w:tcPr>
            <w:tcW w:w="1134" w:type="dxa"/>
          </w:tcPr>
          <w:p w:rsidR="000A4C3B" w:rsidRDefault="000A4C3B" w:rsidP="007B7688">
            <w:pPr>
              <w:jc w:val="both"/>
              <w:rPr>
                <w:rFonts w:cs="Arial"/>
                <w:szCs w:val="24"/>
              </w:rPr>
            </w:pPr>
            <w:r w:rsidRPr="00F34A5F">
              <w:rPr>
                <w:rFonts w:cs="Arial"/>
                <w:szCs w:val="24"/>
              </w:rPr>
              <w:t>38%</w:t>
            </w:r>
          </w:p>
        </w:tc>
        <w:tc>
          <w:tcPr>
            <w:tcW w:w="2324" w:type="dxa"/>
          </w:tcPr>
          <w:p w:rsidR="000A4C3B" w:rsidRDefault="000A4C3B" w:rsidP="007B7688">
            <w:pPr>
              <w:jc w:val="both"/>
              <w:rPr>
                <w:rFonts w:cs="Arial"/>
                <w:szCs w:val="24"/>
              </w:rPr>
            </w:pPr>
            <w:r w:rsidRPr="00F34A5F">
              <w:rPr>
                <w:rFonts w:cs="Arial"/>
                <w:szCs w:val="24"/>
              </w:rPr>
              <w:t>38%</w:t>
            </w:r>
          </w:p>
        </w:tc>
        <w:tc>
          <w:tcPr>
            <w:tcW w:w="1849" w:type="dxa"/>
          </w:tcPr>
          <w:p w:rsidR="000A4C3B" w:rsidRDefault="000A4C3B" w:rsidP="007B7688">
            <w:pPr>
              <w:jc w:val="both"/>
              <w:rPr>
                <w:rFonts w:cs="Arial"/>
                <w:szCs w:val="24"/>
              </w:rPr>
            </w:pPr>
            <w:r w:rsidRPr="00F34A5F">
              <w:rPr>
                <w:rFonts w:cs="Arial"/>
                <w:szCs w:val="24"/>
              </w:rPr>
              <w:t>22%</w:t>
            </w:r>
          </w:p>
        </w:tc>
      </w:tr>
      <w:tr w:rsidR="000A4C3B" w:rsidTr="007B7688">
        <w:tc>
          <w:tcPr>
            <w:tcW w:w="2802" w:type="dxa"/>
          </w:tcPr>
          <w:p w:rsidR="000A4C3B" w:rsidRDefault="000A4C3B" w:rsidP="007B7688">
            <w:pPr>
              <w:jc w:val="both"/>
              <w:rPr>
                <w:rFonts w:cs="Arial"/>
                <w:szCs w:val="24"/>
              </w:rPr>
            </w:pPr>
            <w:r w:rsidRPr="00983442">
              <w:rPr>
                <w:rFonts w:cs="Arial"/>
                <w:szCs w:val="24"/>
              </w:rPr>
              <w:t>Blackpool</w:t>
            </w:r>
          </w:p>
        </w:tc>
        <w:tc>
          <w:tcPr>
            <w:tcW w:w="1134" w:type="dxa"/>
          </w:tcPr>
          <w:p w:rsidR="000A4C3B" w:rsidRDefault="000A4C3B" w:rsidP="007B7688">
            <w:pPr>
              <w:jc w:val="both"/>
              <w:rPr>
                <w:rFonts w:cs="Arial"/>
                <w:szCs w:val="24"/>
              </w:rPr>
            </w:pPr>
            <w:r w:rsidRPr="00F34A5F">
              <w:rPr>
                <w:rFonts w:cs="Arial"/>
                <w:szCs w:val="24"/>
              </w:rPr>
              <w:t>53%</w:t>
            </w:r>
          </w:p>
        </w:tc>
        <w:tc>
          <w:tcPr>
            <w:tcW w:w="1134" w:type="dxa"/>
          </w:tcPr>
          <w:p w:rsidR="000A4C3B" w:rsidRDefault="000A4C3B" w:rsidP="007B7688">
            <w:pPr>
              <w:jc w:val="both"/>
              <w:rPr>
                <w:rFonts w:cs="Arial"/>
                <w:szCs w:val="24"/>
              </w:rPr>
            </w:pPr>
            <w:r w:rsidRPr="00F34A5F">
              <w:rPr>
                <w:rFonts w:cs="Arial"/>
                <w:szCs w:val="24"/>
              </w:rPr>
              <w:t>30%</w:t>
            </w:r>
          </w:p>
        </w:tc>
        <w:tc>
          <w:tcPr>
            <w:tcW w:w="2324" w:type="dxa"/>
          </w:tcPr>
          <w:p w:rsidR="000A4C3B" w:rsidRDefault="000A4C3B" w:rsidP="007B7688">
            <w:pPr>
              <w:jc w:val="both"/>
              <w:rPr>
                <w:rFonts w:cs="Arial"/>
                <w:szCs w:val="24"/>
              </w:rPr>
            </w:pPr>
            <w:r w:rsidRPr="00F34A5F">
              <w:rPr>
                <w:rFonts w:cs="Arial"/>
                <w:szCs w:val="24"/>
              </w:rPr>
              <w:t>35%</w:t>
            </w:r>
          </w:p>
        </w:tc>
        <w:tc>
          <w:tcPr>
            <w:tcW w:w="1849" w:type="dxa"/>
          </w:tcPr>
          <w:p w:rsidR="000A4C3B" w:rsidRDefault="000A4C3B" w:rsidP="007B7688">
            <w:pPr>
              <w:jc w:val="both"/>
              <w:rPr>
                <w:rFonts w:cs="Arial"/>
                <w:szCs w:val="24"/>
              </w:rPr>
            </w:pPr>
            <w:r w:rsidRPr="00F34A5F">
              <w:rPr>
                <w:rFonts w:cs="Arial"/>
                <w:szCs w:val="24"/>
              </w:rPr>
              <w:t>12%</w:t>
            </w:r>
          </w:p>
        </w:tc>
      </w:tr>
    </w:tbl>
    <w:p w:rsidR="000A4C3B" w:rsidRDefault="000A4C3B" w:rsidP="00D10D26">
      <w:pPr>
        <w:jc w:val="both"/>
        <w:rPr>
          <w:rFonts w:cs="Arial"/>
          <w:szCs w:val="24"/>
        </w:rPr>
      </w:pPr>
    </w:p>
    <w:p w:rsidR="00CB176A" w:rsidRPr="00CB176A" w:rsidRDefault="00CB176A" w:rsidP="00D10D26">
      <w:pPr>
        <w:jc w:val="both"/>
        <w:rPr>
          <w:rFonts w:cs="Arial"/>
          <w:b/>
          <w:szCs w:val="24"/>
        </w:rPr>
      </w:pPr>
      <w:r w:rsidRPr="00CB176A">
        <w:rPr>
          <w:rFonts w:cs="Arial"/>
          <w:b/>
          <w:szCs w:val="24"/>
        </w:rPr>
        <w:t>Not engaged in education, employment or training (NEET)</w:t>
      </w:r>
    </w:p>
    <w:p w:rsidR="00CB176A" w:rsidRDefault="00CB176A" w:rsidP="00D10D26">
      <w:pPr>
        <w:jc w:val="both"/>
        <w:rPr>
          <w:rFonts w:cs="Arial"/>
          <w:b/>
          <w:szCs w:val="24"/>
        </w:rPr>
      </w:pPr>
    </w:p>
    <w:p w:rsidR="001E3608" w:rsidRPr="003302D1" w:rsidRDefault="001E3608" w:rsidP="00D10D26">
      <w:pPr>
        <w:jc w:val="both"/>
        <w:rPr>
          <w:rFonts w:cs="Arial"/>
          <w:szCs w:val="24"/>
        </w:rPr>
      </w:pPr>
      <w:r w:rsidRPr="003302D1">
        <w:rPr>
          <w:rFonts w:cs="Arial"/>
          <w:szCs w:val="24"/>
        </w:rPr>
        <w:t>The following table demonstrate how Lancashire compares with others in relation to the percentages of young people who are NEET</w:t>
      </w:r>
    </w:p>
    <w:p w:rsidR="001E3608" w:rsidRDefault="001E3608" w:rsidP="00D10D26">
      <w:pPr>
        <w:jc w:val="both"/>
        <w:rPr>
          <w:rFonts w:cs="Arial"/>
          <w:b/>
          <w:szCs w:val="24"/>
        </w:rPr>
      </w:pPr>
    </w:p>
    <w:p w:rsidR="00CB176A" w:rsidRPr="00C61D79" w:rsidRDefault="00F34A5F" w:rsidP="00D10D26">
      <w:pPr>
        <w:jc w:val="both"/>
        <w:rPr>
          <w:rFonts w:cs="Arial"/>
          <w:szCs w:val="24"/>
        </w:rPr>
      </w:pPr>
      <w:r w:rsidRPr="00C61D79">
        <w:rPr>
          <w:rFonts w:cs="Arial"/>
          <w:szCs w:val="24"/>
        </w:rPr>
        <w:t>November-January 2014             November –January 2015</w:t>
      </w:r>
    </w:p>
    <w:p w:rsidR="00F34A5F" w:rsidRDefault="00F34A5F" w:rsidP="00D10D26">
      <w:pPr>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gridCol w:w="2977"/>
      </w:tblGrid>
      <w:tr w:rsidR="000A4C3B" w:rsidTr="000A4C3B">
        <w:tc>
          <w:tcPr>
            <w:tcW w:w="2943" w:type="dxa"/>
          </w:tcPr>
          <w:p w:rsidR="000A4C3B" w:rsidRDefault="000A4C3B" w:rsidP="00D10D26">
            <w:pPr>
              <w:jc w:val="both"/>
              <w:rPr>
                <w:rFonts w:cs="Arial"/>
                <w:szCs w:val="24"/>
              </w:rPr>
            </w:pPr>
            <w:r w:rsidRPr="00C61D79">
              <w:rPr>
                <w:rFonts w:cs="Arial"/>
                <w:szCs w:val="24"/>
              </w:rPr>
              <w:t>North-West</w:t>
            </w:r>
          </w:p>
        </w:tc>
        <w:tc>
          <w:tcPr>
            <w:tcW w:w="1418" w:type="dxa"/>
          </w:tcPr>
          <w:p w:rsidR="000A4C3B" w:rsidRDefault="000A4C3B" w:rsidP="00D10D26">
            <w:pPr>
              <w:jc w:val="both"/>
              <w:rPr>
                <w:rFonts w:cs="Arial"/>
                <w:szCs w:val="24"/>
              </w:rPr>
            </w:pPr>
            <w:r w:rsidRPr="00C61D79">
              <w:rPr>
                <w:rFonts w:cs="Arial"/>
                <w:szCs w:val="24"/>
              </w:rPr>
              <w:t>5.6%</w:t>
            </w:r>
          </w:p>
        </w:tc>
        <w:tc>
          <w:tcPr>
            <w:tcW w:w="2977" w:type="dxa"/>
          </w:tcPr>
          <w:p w:rsidR="000A4C3B" w:rsidRDefault="000A4C3B" w:rsidP="00D10D26">
            <w:pPr>
              <w:jc w:val="both"/>
              <w:rPr>
                <w:rFonts w:cs="Arial"/>
                <w:szCs w:val="24"/>
              </w:rPr>
            </w:pPr>
            <w:r w:rsidRPr="00C61D79">
              <w:rPr>
                <w:rFonts w:cs="Arial"/>
                <w:szCs w:val="24"/>
              </w:rPr>
              <w:t>5.2%</w:t>
            </w:r>
          </w:p>
        </w:tc>
      </w:tr>
      <w:tr w:rsidR="000A4C3B" w:rsidTr="000A4C3B">
        <w:tc>
          <w:tcPr>
            <w:tcW w:w="2943" w:type="dxa"/>
          </w:tcPr>
          <w:p w:rsidR="000A4C3B" w:rsidRDefault="000A4C3B" w:rsidP="00D10D26">
            <w:pPr>
              <w:jc w:val="both"/>
              <w:rPr>
                <w:rFonts w:cs="Arial"/>
                <w:szCs w:val="24"/>
              </w:rPr>
            </w:pPr>
            <w:r w:rsidRPr="00C61D79">
              <w:rPr>
                <w:rFonts w:cs="Arial"/>
                <w:szCs w:val="24"/>
              </w:rPr>
              <w:t>Lancashire</w:t>
            </w:r>
          </w:p>
        </w:tc>
        <w:tc>
          <w:tcPr>
            <w:tcW w:w="1418" w:type="dxa"/>
          </w:tcPr>
          <w:p w:rsidR="000A4C3B" w:rsidRDefault="000A4C3B" w:rsidP="00D10D26">
            <w:pPr>
              <w:jc w:val="both"/>
              <w:rPr>
                <w:rFonts w:cs="Arial"/>
                <w:szCs w:val="24"/>
              </w:rPr>
            </w:pPr>
            <w:r w:rsidRPr="00C61D79">
              <w:rPr>
                <w:rFonts w:cs="Arial"/>
                <w:szCs w:val="24"/>
              </w:rPr>
              <w:t>5.3%</w:t>
            </w:r>
          </w:p>
        </w:tc>
        <w:tc>
          <w:tcPr>
            <w:tcW w:w="2977" w:type="dxa"/>
          </w:tcPr>
          <w:p w:rsidR="000A4C3B" w:rsidRDefault="000A4C3B" w:rsidP="00D10D26">
            <w:pPr>
              <w:jc w:val="both"/>
              <w:rPr>
                <w:rFonts w:cs="Arial"/>
                <w:szCs w:val="24"/>
              </w:rPr>
            </w:pPr>
            <w:r w:rsidRPr="00C61D79">
              <w:rPr>
                <w:rFonts w:cs="Arial"/>
                <w:szCs w:val="24"/>
              </w:rPr>
              <w:t>5% 2040 young people</w:t>
            </w:r>
          </w:p>
        </w:tc>
      </w:tr>
      <w:tr w:rsidR="000A4C3B" w:rsidTr="000A4C3B">
        <w:tc>
          <w:tcPr>
            <w:tcW w:w="2943" w:type="dxa"/>
          </w:tcPr>
          <w:p w:rsidR="000A4C3B" w:rsidRDefault="000A4C3B" w:rsidP="00D10D26">
            <w:pPr>
              <w:jc w:val="both"/>
              <w:rPr>
                <w:rFonts w:cs="Arial"/>
                <w:szCs w:val="24"/>
              </w:rPr>
            </w:pPr>
            <w:r w:rsidRPr="00C61D79">
              <w:rPr>
                <w:rFonts w:cs="Arial"/>
                <w:szCs w:val="24"/>
              </w:rPr>
              <w:t xml:space="preserve">Blackburn with </w:t>
            </w:r>
            <w:proofErr w:type="spellStart"/>
            <w:r w:rsidRPr="00C61D79">
              <w:rPr>
                <w:rFonts w:cs="Arial"/>
                <w:szCs w:val="24"/>
              </w:rPr>
              <w:t>Darwen</w:t>
            </w:r>
            <w:proofErr w:type="spellEnd"/>
          </w:p>
        </w:tc>
        <w:tc>
          <w:tcPr>
            <w:tcW w:w="1418" w:type="dxa"/>
          </w:tcPr>
          <w:p w:rsidR="000A4C3B" w:rsidRDefault="000A4C3B" w:rsidP="00D10D26">
            <w:pPr>
              <w:jc w:val="both"/>
              <w:rPr>
                <w:rFonts w:cs="Arial"/>
                <w:szCs w:val="24"/>
              </w:rPr>
            </w:pPr>
            <w:r w:rsidRPr="00C61D79">
              <w:rPr>
                <w:rFonts w:cs="Arial"/>
                <w:szCs w:val="24"/>
              </w:rPr>
              <w:t>6.2%</w:t>
            </w:r>
          </w:p>
        </w:tc>
        <w:tc>
          <w:tcPr>
            <w:tcW w:w="2977" w:type="dxa"/>
          </w:tcPr>
          <w:p w:rsidR="000A4C3B" w:rsidRDefault="000A4C3B" w:rsidP="00D10D26">
            <w:pPr>
              <w:jc w:val="both"/>
              <w:rPr>
                <w:rFonts w:cs="Arial"/>
                <w:szCs w:val="24"/>
              </w:rPr>
            </w:pPr>
            <w:r w:rsidRPr="00C61D79">
              <w:rPr>
                <w:rFonts w:cs="Arial"/>
                <w:szCs w:val="24"/>
              </w:rPr>
              <w:t>5.8%</w:t>
            </w:r>
          </w:p>
        </w:tc>
      </w:tr>
      <w:tr w:rsidR="000A4C3B" w:rsidTr="000A4C3B">
        <w:tc>
          <w:tcPr>
            <w:tcW w:w="2943" w:type="dxa"/>
          </w:tcPr>
          <w:p w:rsidR="000A4C3B" w:rsidRDefault="000A4C3B" w:rsidP="00D10D26">
            <w:pPr>
              <w:jc w:val="both"/>
              <w:rPr>
                <w:rFonts w:cs="Arial"/>
                <w:szCs w:val="24"/>
              </w:rPr>
            </w:pPr>
            <w:r w:rsidRPr="00C61D79">
              <w:rPr>
                <w:rFonts w:cs="Arial"/>
                <w:szCs w:val="24"/>
              </w:rPr>
              <w:t>Blackpool</w:t>
            </w:r>
          </w:p>
        </w:tc>
        <w:tc>
          <w:tcPr>
            <w:tcW w:w="1418" w:type="dxa"/>
          </w:tcPr>
          <w:p w:rsidR="000A4C3B" w:rsidRDefault="000A4C3B" w:rsidP="00D10D26">
            <w:pPr>
              <w:jc w:val="both"/>
              <w:rPr>
                <w:rFonts w:cs="Arial"/>
                <w:szCs w:val="24"/>
              </w:rPr>
            </w:pPr>
            <w:r w:rsidRPr="00C61D79">
              <w:rPr>
                <w:rFonts w:cs="Arial"/>
                <w:szCs w:val="24"/>
              </w:rPr>
              <w:t>6.8%</w:t>
            </w:r>
          </w:p>
        </w:tc>
        <w:tc>
          <w:tcPr>
            <w:tcW w:w="2977" w:type="dxa"/>
          </w:tcPr>
          <w:p w:rsidR="000A4C3B" w:rsidRDefault="000A4C3B" w:rsidP="00D10D26">
            <w:pPr>
              <w:jc w:val="both"/>
              <w:rPr>
                <w:rFonts w:cs="Arial"/>
                <w:szCs w:val="24"/>
              </w:rPr>
            </w:pPr>
            <w:r>
              <w:rPr>
                <w:rFonts w:cs="Arial"/>
                <w:szCs w:val="24"/>
              </w:rPr>
              <w:t>6.5%</w:t>
            </w:r>
          </w:p>
        </w:tc>
      </w:tr>
    </w:tbl>
    <w:p w:rsidR="000A4C3B" w:rsidRDefault="000A4C3B" w:rsidP="00D10D26">
      <w:pPr>
        <w:jc w:val="both"/>
        <w:rPr>
          <w:rFonts w:cs="Arial"/>
          <w:szCs w:val="24"/>
        </w:rPr>
      </w:pPr>
    </w:p>
    <w:p w:rsidR="00F2427C" w:rsidRPr="00C61D79" w:rsidRDefault="00F2427C" w:rsidP="00D10D26">
      <w:pPr>
        <w:jc w:val="both"/>
        <w:rPr>
          <w:rFonts w:cs="Arial"/>
          <w:szCs w:val="24"/>
        </w:rPr>
      </w:pPr>
      <w:r w:rsidRPr="00C61D79">
        <w:rPr>
          <w:rFonts w:cs="Arial"/>
          <w:szCs w:val="24"/>
        </w:rPr>
        <w:t>Lancashire March 2015 4.9% 1875 young people</w:t>
      </w:r>
    </w:p>
    <w:p w:rsidR="00F2427C" w:rsidRPr="00C61D79" w:rsidRDefault="00F2427C" w:rsidP="00D10D26">
      <w:pPr>
        <w:jc w:val="both"/>
        <w:rPr>
          <w:rFonts w:cs="Arial"/>
          <w:szCs w:val="24"/>
        </w:rPr>
      </w:pPr>
    </w:p>
    <w:p w:rsidR="00F2427C" w:rsidRPr="00C61D79" w:rsidRDefault="000A4C3B" w:rsidP="00D10D26">
      <w:pPr>
        <w:jc w:val="both"/>
        <w:rPr>
          <w:rFonts w:cs="Arial"/>
          <w:szCs w:val="24"/>
        </w:rPr>
      </w:pPr>
      <w:r>
        <w:rPr>
          <w:rFonts w:cs="Arial"/>
          <w:szCs w:val="24"/>
        </w:rPr>
        <w:t>However:</w:t>
      </w:r>
    </w:p>
    <w:p w:rsidR="00F2427C" w:rsidRDefault="00F2427C" w:rsidP="00D10D26">
      <w:pPr>
        <w:jc w:val="both"/>
        <w:rPr>
          <w:rFonts w:cs="Arial"/>
          <w:szCs w:val="24"/>
        </w:rPr>
      </w:pPr>
    </w:p>
    <w:p w:rsidR="00F2427C" w:rsidRPr="00C61D79" w:rsidRDefault="00F2427C" w:rsidP="00D10D26">
      <w:pPr>
        <w:jc w:val="both"/>
        <w:rPr>
          <w:rFonts w:cs="Arial"/>
          <w:szCs w:val="24"/>
        </w:rPr>
      </w:pPr>
      <w:r w:rsidRPr="00C61D79">
        <w:rPr>
          <w:rFonts w:cs="Arial"/>
          <w:szCs w:val="24"/>
        </w:rPr>
        <w:t>Burnley 6.5% (197yp) but down from 10.3% (287yp)</w:t>
      </w:r>
    </w:p>
    <w:p w:rsidR="00F2427C" w:rsidRPr="00C61D79" w:rsidRDefault="00F2427C" w:rsidP="00D10D26">
      <w:pPr>
        <w:jc w:val="both"/>
        <w:rPr>
          <w:rFonts w:cs="Arial"/>
          <w:szCs w:val="24"/>
        </w:rPr>
      </w:pPr>
      <w:r w:rsidRPr="00C61D79">
        <w:rPr>
          <w:rFonts w:cs="Arial"/>
          <w:szCs w:val="24"/>
        </w:rPr>
        <w:t>Preston 7.2% (</w:t>
      </w:r>
      <w:r w:rsidR="003302D1">
        <w:rPr>
          <w:rFonts w:cs="Arial"/>
          <w:szCs w:val="24"/>
        </w:rPr>
        <w:t>352yp) up from 6.9% (312</w:t>
      </w:r>
      <w:r w:rsidRPr="00C61D79">
        <w:rPr>
          <w:rFonts w:cs="Arial"/>
          <w:szCs w:val="24"/>
        </w:rPr>
        <w:t xml:space="preserve"> </w:t>
      </w:r>
      <w:proofErr w:type="spellStart"/>
      <w:r w:rsidRPr="00C61D79">
        <w:rPr>
          <w:rFonts w:cs="Arial"/>
          <w:szCs w:val="24"/>
        </w:rPr>
        <w:t>yp</w:t>
      </w:r>
      <w:proofErr w:type="spellEnd"/>
      <w:r w:rsidRPr="00C61D79">
        <w:rPr>
          <w:rFonts w:cs="Arial"/>
          <w:szCs w:val="24"/>
        </w:rPr>
        <w:t>)</w:t>
      </w:r>
    </w:p>
    <w:p w:rsidR="00F2427C" w:rsidRPr="00C61D79" w:rsidRDefault="00F2427C" w:rsidP="00D10D26">
      <w:pPr>
        <w:jc w:val="both"/>
        <w:rPr>
          <w:rFonts w:cs="Arial"/>
          <w:szCs w:val="24"/>
        </w:rPr>
      </w:pPr>
      <w:r w:rsidRPr="00C61D79">
        <w:rPr>
          <w:rFonts w:cs="Arial"/>
          <w:szCs w:val="24"/>
        </w:rPr>
        <w:t>Lancaster 5.9% (249yp) but down from 6.3% (265yp)</w:t>
      </w:r>
    </w:p>
    <w:p w:rsidR="00F2427C" w:rsidRPr="00C61D79" w:rsidRDefault="00F2427C" w:rsidP="00D10D26">
      <w:pPr>
        <w:jc w:val="both"/>
        <w:rPr>
          <w:rFonts w:cs="Arial"/>
          <w:szCs w:val="24"/>
        </w:rPr>
      </w:pPr>
      <w:r w:rsidRPr="00C61D79">
        <w:rPr>
          <w:rFonts w:cs="Arial"/>
          <w:szCs w:val="24"/>
        </w:rPr>
        <w:t>Hyndburn 5.8% (172yp) but down from 6.8% (200yp)</w:t>
      </w:r>
      <w:r w:rsidR="00F34A5F" w:rsidRPr="00C61D79">
        <w:rPr>
          <w:rFonts w:cs="Arial"/>
          <w:szCs w:val="24"/>
        </w:rPr>
        <w:t xml:space="preserve">    </w:t>
      </w:r>
    </w:p>
    <w:p w:rsidR="00F2427C" w:rsidRPr="00C61D79" w:rsidRDefault="00F2427C" w:rsidP="00D10D26">
      <w:pPr>
        <w:jc w:val="both"/>
        <w:rPr>
          <w:rFonts w:cs="Arial"/>
          <w:szCs w:val="24"/>
        </w:rPr>
      </w:pPr>
    </w:p>
    <w:p w:rsidR="00C61D79" w:rsidRDefault="00F2427C" w:rsidP="00D10D26">
      <w:pPr>
        <w:jc w:val="both"/>
        <w:rPr>
          <w:rFonts w:cs="Arial"/>
          <w:szCs w:val="24"/>
        </w:rPr>
      </w:pPr>
      <w:r w:rsidRPr="00C61D79">
        <w:rPr>
          <w:rFonts w:cs="Arial"/>
          <w:szCs w:val="24"/>
        </w:rPr>
        <w:t>Over two thirds of young people who are NEET are aged 18/19</w:t>
      </w:r>
      <w:r w:rsidR="00857AEA">
        <w:rPr>
          <w:rFonts w:cs="Arial"/>
          <w:szCs w:val="24"/>
        </w:rPr>
        <w:t xml:space="preserve"> </w:t>
      </w:r>
      <w:r w:rsidRPr="00C61D79">
        <w:rPr>
          <w:rFonts w:cs="Arial"/>
          <w:szCs w:val="24"/>
        </w:rPr>
        <w:t>60% of young people who are NEET have no qualifications</w:t>
      </w:r>
      <w:r w:rsidR="00C61D79" w:rsidRPr="00C61D79">
        <w:rPr>
          <w:rFonts w:cs="Arial"/>
          <w:szCs w:val="24"/>
        </w:rPr>
        <w:t>, however 20% have 5 A*-C GCSE</w:t>
      </w:r>
      <w:r w:rsidR="00857AEA">
        <w:rPr>
          <w:rFonts w:cs="Arial"/>
          <w:szCs w:val="24"/>
        </w:rPr>
        <w:t xml:space="preserve">.  </w:t>
      </w:r>
      <w:r w:rsidR="00C61D79" w:rsidRPr="00C61D79">
        <w:rPr>
          <w:rFonts w:cs="Arial"/>
          <w:szCs w:val="24"/>
        </w:rPr>
        <w:t>A third of young people who are NEET have been so for 1-2 years</w:t>
      </w:r>
      <w:r w:rsidR="00857AEA">
        <w:rPr>
          <w:rFonts w:cs="Arial"/>
          <w:szCs w:val="24"/>
        </w:rPr>
        <w:t>.</w:t>
      </w:r>
    </w:p>
    <w:p w:rsidR="00840939" w:rsidRDefault="00840939" w:rsidP="00D10D26">
      <w:pPr>
        <w:jc w:val="both"/>
        <w:rPr>
          <w:rFonts w:cs="Arial"/>
          <w:szCs w:val="24"/>
        </w:rPr>
      </w:pPr>
    </w:p>
    <w:p w:rsidR="00840939" w:rsidRPr="00840939" w:rsidRDefault="00840939" w:rsidP="00D10D26">
      <w:pPr>
        <w:jc w:val="both"/>
        <w:rPr>
          <w:rFonts w:cs="Arial"/>
          <w:b/>
          <w:szCs w:val="24"/>
        </w:rPr>
      </w:pPr>
      <w:r w:rsidRPr="00840939">
        <w:rPr>
          <w:rFonts w:cs="Arial"/>
          <w:b/>
          <w:szCs w:val="24"/>
        </w:rPr>
        <w:t>Apprenticeships</w:t>
      </w:r>
    </w:p>
    <w:p w:rsidR="00840939" w:rsidRDefault="00840939" w:rsidP="00D10D26">
      <w:pPr>
        <w:jc w:val="both"/>
        <w:rPr>
          <w:rFonts w:cs="Arial"/>
          <w:szCs w:val="24"/>
        </w:rPr>
      </w:pPr>
    </w:p>
    <w:p w:rsidR="00840939" w:rsidRDefault="00840939" w:rsidP="00D10D26">
      <w:pPr>
        <w:jc w:val="both"/>
        <w:rPr>
          <w:rFonts w:cs="Arial"/>
          <w:szCs w:val="24"/>
        </w:rPr>
      </w:pPr>
      <w:r>
        <w:rPr>
          <w:rFonts w:cs="Arial"/>
          <w:szCs w:val="24"/>
        </w:rPr>
        <w:t>Over the last year we have seen a growth in the numbers of 16-18 year olds starting an apprenticeship.</w:t>
      </w:r>
    </w:p>
    <w:p w:rsidR="00840939" w:rsidRDefault="00840939" w:rsidP="00D10D26">
      <w:pPr>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2996"/>
        <w:gridCol w:w="2996"/>
      </w:tblGrid>
      <w:tr w:rsidR="00857AEA" w:rsidTr="00857AEA">
        <w:tc>
          <w:tcPr>
            <w:tcW w:w="3081" w:type="dxa"/>
          </w:tcPr>
          <w:p w:rsidR="00857AEA" w:rsidRDefault="00857AEA" w:rsidP="00D10D26">
            <w:pPr>
              <w:jc w:val="both"/>
              <w:rPr>
                <w:rFonts w:cs="Arial"/>
                <w:szCs w:val="24"/>
              </w:rPr>
            </w:pPr>
          </w:p>
        </w:tc>
        <w:tc>
          <w:tcPr>
            <w:tcW w:w="3081" w:type="dxa"/>
          </w:tcPr>
          <w:p w:rsidR="00857AEA" w:rsidRDefault="00857AEA" w:rsidP="00D10D26">
            <w:pPr>
              <w:jc w:val="both"/>
              <w:rPr>
                <w:rFonts w:cs="Arial"/>
                <w:szCs w:val="24"/>
              </w:rPr>
            </w:pPr>
            <w:r>
              <w:rPr>
                <w:rFonts w:cs="Arial"/>
                <w:szCs w:val="24"/>
              </w:rPr>
              <w:t>2013</w:t>
            </w:r>
          </w:p>
        </w:tc>
        <w:tc>
          <w:tcPr>
            <w:tcW w:w="3081" w:type="dxa"/>
          </w:tcPr>
          <w:p w:rsidR="00857AEA" w:rsidRDefault="00857AEA" w:rsidP="00D10D26">
            <w:pPr>
              <w:jc w:val="both"/>
              <w:rPr>
                <w:rFonts w:cs="Arial"/>
                <w:szCs w:val="24"/>
              </w:rPr>
            </w:pPr>
            <w:r>
              <w:rPr>
                <w:rFonts w:cs="Arial"/>
                <w:szCs w:val="24"/>
              </w:rPr>
              <w:t>2014</w:t>
            </w:r>
          </w:p>
        </w:tc>
      </w:tr>
      <w:tr w:rsidR="00857AEA" w:rsidTr="00857AEA">
        <w:tc>
          <w:tcPr>
            <w:tcW w:w="3081" w:type="dxa"/>
          </w:tcPr>
          <w:p w:rsidR="00857AEA" w:rsidRDefault="00857AEA" w:rsidP="00D10D26">
            <w:pPr>
              <w:jc w:val="both"/>
              <w:rPr>
                <w:rFonts w:cs="Arial"/>
                <w:szCs w:val="24"/>
              </w:rPr>
            </w:pPr>
            <w:r>
              <w:rPr>
                <w:rFonts w:cs="Arial"/>
                <w:szCs w:val="24"/>
              </w:rPr>
              <w:t>Apprenticeship starts</w:t>
            </w:r>
          </w:p>
        </w:tc>
        <w:tc>
          <w:tcPr>
            <w:tcW w:w="3081" w:type="dxa"/>
          </w:tcPr>
          <w:p w:rsidR="00857AEA" w:rsidRDefault="00857AEA" w:rsidP="00D10D26">
            <w:pPr>
              <w:jc w:val="both"/>
              <w:rPr>
                <w:rFonts w:cs="Arial"/>
                <w:szCs w:val="24"/>
              </w:rPr>
            </w:pPr>
            <w:r>
              <w:rPr>
                <w:rFonts w:cs="Arial"/>
                <w:szCs w:val="24"/>
              </w:rPr>
              <w:t>2967</w:t>
            </w:r>
          </w:p>
        </w:tc>
        <w:tc>
          <w:tcPr>
            <w:tcW w:w="3081" w:type="dxa"/>
          </w:tcPr>
          <w:p w:rsidR="00857AEA" w:rsidRDefault="00857AEA" w:rsidP="00D10D26">
            <w:pPr>
              <w:jc w:val="both"/>
              <w:rPr>
                <w:rFonts w:cs="Arial"/>
                <w:szCs w:val="24"/>
              </w:rPr>
            </w:pPr>
            <w:r>
              <w:rPr>
                <w:rFonts w:cs="Arial"/>
                <w:szCs w:val="24"/>
              </w:rPr>
              <w:t>3307</w:t>
            </w:r>
          </w:p>
        </w:tc>
      </w:tr>
    </w:tbl>
    <w:p w:rsidR="00857AEA" w:rsidRDefault="00857AEA" w:rsidP="00D10D26">
      <w:pPr>
        <w:jc w:val="both"/>
        <w:rPr>
          <w:rFonts w:cs="Arial"/>
          <w:szCs w:val="24"/>
        </w:rPr>
      </w:pPr>
    </w:p>
    <w:p w:rsidR="0039200A" w:rsidRDefault="0039200A" w:rsidP="00D10D26">
      <w:pPr>
        <w:jc w:val="both"/>
        <w:rPr>
          <w:rFonts w:cs="Arial"/>
          <w:szCs w:val="24"/>
        </w:rPr>
      </w:pPr>
      <w:r>
        <w:rPr>
          <w:rFonts w:cs="Arial"/>
          <w:szCs w:val="24"/>
        </w:rPr>
        <w:t>However as at May 2015 there are over 500 apprenticeship vacancies.</w:t>
      </w:r>
    </w:p>
    <w:p w:rsidR="00A52271" w:rsidRDefault="00A52271" w:rsidP="00D10D26">
      <w:pPr>
        <w:jc w:val="both"/>
        <w:rPr>
          <w:rFonts w:cs="Arial"/>
          <w:szCs w:val="24"/>
        </w:rPr>
      </w:pPr>
    </w:p>
    <w:p w:rsidR="00CB176A" w:rsidRDefault="00CB176A" w:rsidP="00D10D26">
      <w:pPr>
        <w:jc w:val="both"/>
        <w:rPr>
          <w:rFonts w:cs="Arial"/>
          <w:b/>
          <w:szCs w:val="24"/>
        </w:rPr>
      </w:pPr>
      <w:r w:rsidRPr="00CB176A">
        <w:rPr>
          <w:rFonts w:cs="Arial"/>
          <w:b/>
          <w:szCs w:val="24"/>
        </w:rPr>
        <w:t>Quality</w:t>
      </w:r>
    </w:p>
    <w:p w:rsidR="00857AEA" w:rsidRPr="00CB176A" w:rsidRDefault="00857AEA" w:rsidP="00D10D26">
      <w:pPr>
        <w:jc w:val="both"/>
        <w:rPr>
          <w:rFonts w:cs="Arial"/>
          <w:b/>
          <w:szCs w:val="24"/>
        </w:rPr>
      </w:pPr>
    </w:p>
    <w:p w:rsidR="00CB176A" w:rsidRDefault="007B73C6" w:rsidP="00D10D26">
      <w:pPr>
        <w:jc w:val="both"/>
        <w:rPr>
          <w:rFonts w:cs="Arial"/>
          <w:szCs w:val="24"/>
        </w:rPr>
      </w:pPr>
      <w:r w:rsidRPr="007B73C6">
        <w:rPr>
          <w:rFonts w:cs="Arial"/>
          <w:szCs w:val="24"/>
        </w:rPr>
        <w:t>With regard to the overall inspection outcomes for the education and training</w:t>
      </w:r>
      <w:r w:rsidR="00857AEA">
        <w:rPr>
          <w:rFonts w:cs="Arial"/>
          <w:szCs w:val="24"/>
        </w:rPr>
        <w:t xml:space="preserve"> </w:t>
      </w:r>
      <w:r w:rsidRPr="007B73C6">
        <w:rPr>
          <w:rFonts w:cs="Arial"/>
          <w:szCs w:val="24"/>
        </w:rPr>
        <w:t>providers in Lancashire, all of the</w:t>
      </w:r>
      <w:r w:rsidR="003302D1">
        <w:rPr>
          <w:rFonts w:cs="Arial"/>
          <w:szCs w:val="24"/>
        </w:rPr>
        <w:t xml:space="preserve"> FE</w:t>
      </w:r>
      <w:r w:rsidRPr="007B73C6">
        <w:rPr>
          <w:rFonts w:cs="Arial"/>
          <w:szCs w:val="24"/>
        </w:rPr>
        <w:t xml:space="preserve"> colleges are deemed to be either </w:t>
      </w:r>
      <w:proofErr w:type="gramStart"/>
      <w:r w:rsidRPr="007B73C6">
        <w:rPr>
          <w:rFonts w:cs="Arial"/>
          <w:szCs w:val="24"/>
        </w:rPr>
        <w:t>Good</w:t>
      </w:r>
      <w:proofErr w:type="gramEnd"/>
      <w:r w:rsidRPr="007B73C6">
        <w:rPr>
          <w:rFonts w:cs="Arial"/>
          <w:szCs w:val="24"/>
        </w:rPr>
        <w:t xml:space="preserve"> or</w:t>
      </w:r>
      <w:r w:rsidR="00857AEA">
        <w:rPr>
          <w:rFonts w:cs="Arial"/>
          <w:szCs w:val="24"/>
        </w:rPr>
        <w:t xml:space="preserve"> </w:t>
      </w:r>
      <w:r w:rsidRPr="007B73C6">
        <w:rPr>
          <w:rFonts w:cs="Arial"/>
          <w:szCs w:val="24"/>
        </w:rPr>
        <w:t>Outstanding.</w:t>
      </w:r>
      <w:r w:rsidR="00857AEA">
        <w:rPr>
          <w:rFonts w:cs="Arial"/>
          <w:szCs w:val="24"/>
        </w:rPr>
        <w:t xml:space="preserve"> </w:t>
      </w:r>
      <w:r w:rsidRPr="007B73C6">
        <w:rPr>
          <w:rFonts w:cs="Arial"/>
          <w:szCs w:val="24"/>
        </w:rPr>
        <w:t xml:space="preserve"> In terms of SSFs and Academies, all but two are deemed to be </w:t>
      </w:r>
      <w:proofErr w:type="gramStart"/>
      <w:r w:rsidRPr="007B73C6">
        <w:rPr>
          <w:rFonts w:cs="Arial"/>
          <w:szCs w:val="24"/>
        </w:rPr>
        <w:t>Good</w:t>
      </w:r>
      <w:proofErr w:type="gramEnd"/>
      <w:r w:rsidR="00857AEA">
        <w:rPr>
          <w:rFonts w:cs="Arial"/>
          <w:szCs w:val="24"/>
        </w:rPr>
        <w:t xml:space="preserve"> </w:t>
      </w:r>
      <w:r w:rsidRPr="007B73C6">
        <w:rPr>
          <w:rFonts w:cs="Arial"/>
          <w:szCs w:val="24"/>
        </w:rPr>
        <w:t>or Outstanding.</w:t>
      </w:r>
      <w:r w:rsidR="00857AEA">
        <w:rPr>
          <w:rFonts w:cs="Arial"/>
          <w:szCs w:val="24"/>
        </w:rPr>
        <w:t xml:space="preserve"> </w:t>
      </w:r>
      <w:r w:rsidRPr="007B73C6">
        <w:rPr>
          <w:rFonts w:cs="Arial"/>
          <w:szCs w:val="24"/>
        </w:rPr>
        <w:t xml:space="preserve"> Of the other two, one requires improvement and one is inadequate</w:t>
      </w:r>
      <w:r w:rsidR="003302D1">
        <w:rPr>
          <w:rFonts w:cs="Arial"/>
          <w:szCs w:val="24"/>
        </w:rPr>
        <w:t xml:space="preserve"> both are being seen to be taking effective and reasonable actions to improve.</w:t>
      </w:r>
    </w:p>
    <w:p w:rsidR="00464271" w:rsidRPr="00DF7532" w:rsidRDefault="00464271" w:rsidP="00D10D26">
      <w:pPr>
        <w:pStyle w:val="Default"/>
        <w:jc w:val="both"/>
      </w:pPr>
    </w:p>
    <w:p w:rsidR="00345CE1" w:rsidRDefault="003E6A45" w:rsidP="00D10D26">
      <w:pPr>
        <w:jc w:val="both"/>
        <w:rPr>
          <w:szCs w:val="24"/>
        </w:rPr>
      </w:pPr>
      <w:r w:rsidRPr="00D046A8">
        <w:rPr>
          <w:b/>
          <w:szCs w:val="24"/>
        </w:rPr>
        <w:t>Implications</w:t>
      </w:r>
      <w:r w:rsidRPr="00D046A8">
        <w:rPr>
          <w:szCs w:val="24"/>
        </w:rPr>
        <w:t xml:space="preserve">: </w:t>
      </w:r>
    </w:p>
    <w:p w:rsidR="009B61F1" w:rsidRPr="00D046A8" w:rsidRDefault="009B61F1" w:rsidP="00D10D26">
      <w:pPr>
        <w:jc w:val="both"/>
        <w:rPr>
          <w:b/>
          <w:szCs w:val="24"/>
        </w:rPr>
      </w:pPr>
    </w:p>
    <w:p w:rsidR="00772BBA" w:rsidRPr="00D046A8" w:rsidRDefault="00772BBA" w:rsidP="00D10D26">
      <w:pPr>
        <w:jc w:val="both"/>
        <w:rPr>
          <w:b/>
          <w:szCs w:val="24"/>
        </w:rPr>
      </w:pPr>
      <w:r w:rsidRPr="00D046A8">
        <w:rPr>
          <w:b/>
          <w:szCs w:val="24"/>
        </w:rPr>
        <w:t>Risk management</w:t>
      </w:r>
    </w:p>
    <w:p w:rsidR="00772BBA" w:rsidRDefault="00772BBA" w:rsidP="00D10D26">
      <w:pPr>
        <w:jc w:val="both"/>
        <w:rPr>
          <w:szCs w:val="24"/>
        </w:rPr>
      </w:pPr>
    </w:p>
    <w:p w:rsidR="00345CE1" w:rsidRPr="00D046A8" w:rsidRDefault="00BE2B28" w:rsidP="00D10D26">
      <w:pPr>
        <w:jc w:val="both"/>
        <w:rPr>
          <w:szCs w:val="24"/>
        </w:rPr>
      </w:pPr>
      <w:r>
        <w:rPr>
          <w:szCs w:val="24"/>
        </w:rPr>
        <w:t>There are no risk management implications arising from this report.</w:t>
      </w:r>
    </w:p>
    <w:p w:rsidR="00B25BE0" w:rsidRPr="00D046A8" w:rsidRDefault="00B25BE0" w:rsidP="00D10D26">
      <w:pPr>
        <w:jc w:val="both"/>
        <w:rPr>
          <w:szCs w:val="24"/>
        </w:rPr>
      </w:pPr>
    </w:p>
    <w:p w:rsidR="003E6A45" w:rsidRPr="00D046A8" w:rsidRDefault="003E6A45" w:rsidP="00D10D26">
      <w:pPr>
        <w:pStyle w:val="Heading5"/>
        <w:jc w:val="both"/>
        <w:rPr>
          <w:rFonts w:ascii="Arial" w:hAnsi="Arial"/>
          <w:szCs w:val="24"/>
          <w:u w:val="none"/>
        </w:rPr>
      </w:pPr>
      <w:r w:rsidRPr="00D046A8">
        <w:rPr>
          <w:rFonts w:ascii="Arial" w:hAnsi="Arial"/>
          <w:szCs w:val="24"/>
          <w:u w:val="none"/>
        </w:rPr>
        <w:t>Local Government (Access to Information) Act 1985</w:t>
      </w:r>
    </w:p>
    <w:p w:rsidR="003E6A45" w:rsidRPr="00D046A8" w:rsidRDefault="003E6A45" w:rsidP="00D10D26">
      <w:pPr>
        <w:pStyle w:val="Heading5"/>
        <w:jc w:val="both"/>
        <w:rPr>
          <w:rFonts w:ascii="Arial" w:hAnsi="Arial"/>
          <w:szCs w:val="24"/>
          <w:u w:val="none"/>
        </w:rPr>
      </w:pPr>
      <w:r w:rsidRPr="00D046A8">
        <w:rPr>
          <w:rFonts w:ascii="Arial" w:hAnsi="Arial"/>
          <w:szCs w:val="24"/>
          <w:u w:val="none"/>
        </w:rPr>
        <w:t>List of Background Papers</w:t>
      </w:r>
    </w:p>
    <w:p w:rsidR="003E6A45" w:rsidRDefault="00A325DA" w:rsidP="00D10D26">
      <w:pPr>
        <w:jc w:val="both"/>
        <w:rPr>
          <w:szCs w:val="24"/>
        </w:rPr>
      </w:pPr>
      <w:r>
        <w:rPr>
          <w:szCs w:val="24"/>
        </w:rPr>
        <w:t>Education Act 1996 section 15ZA</w:t>
      </w:r>
    </w:p>
    <w:p w:rsidR="00A325DA" w:rsidRPr="00D046A8" w:rsidRDefault="00A325DA" w:rsidP="00D10D26">
      <w:pPr>
        <w:jc w:val="both"/>
        <w:rPr>
          <w:szCs w:val="24"/>
        </w:rPr>
      </w:pPr>
      <w:r>
        <w:rPr>
          <w:szCs w:val="24"/>
        </w:rPr>
        <w:t>Education and Skills Act 2008</w:t>
      </w:r>
    </w:p>
    <w:tbl>
      <w:tblPr>
        <w:tblW w:w="0" w:type="auto"/>
        <w:tblLayout w:type="fixed"/>
        <w:tblLook w:val="0000" w:firstRow="0" w:lastRow="0" w:firstColumn="0" w:lastColumn="0" w:noHBand="0" w:noVBand="0"/>
      </w:tblPr>
      <w:tblGrid>
        <w:gridCol w:w="3227"/>
        <w:gridCol w:w="2775"/>
        <w:gridCol w:w="3178"/>
      </w:tblGrid>
      <w:tr w:rsidR="003E6A45" w:rsidRPr="00D046A8">
        <w:tc>
          <w:tcPr>
            <w:tcW w:w="3227" w:type="dxa"/>
          </w:tcPr>
          <w:p w:rsidR="003E6A45" w:rsidRPr="00D046A8" w:rsidRDefault="003E6A45" w:rsidP="00D10D26">
            <w:pPr>
              <w:pStyle w:val="Heading7"/>
              <w:jc w:val="both"/>
              <w:rPr>
                <w:rFonts w:ascii="Arial" w:hAnsi="Arial"/>
                <w:szCs w:val="24"/>
                <w:u w:val="none"/>
              </w:rPr>
            </w:pPr>
          </w:p>
        </w:tc>
        <w:tc>
          <w:tcPr>
            <w:tcW w:w="2775" w:type="dxa"/>
          </w:tcPr>
          <w:p w:rsidR="003E6A45" w:rsidRPr="00D046A8" w:rsidRDefault="003E6A45" w:rsidP="00D10D26">
            <w:pPr>
              <w:pStyle w:val="Heading7"/>
              <w:jc w:val="both"/>
              <w:rPr>
                <w:rFonts w:ascii="Arial" w:hAnsi="Arial"/>
                <w:szCs w:val="24"/>
                <w:u w:val="none"/>
              </w:rPr>
            </w:pPr>
          </w:p>
        </w:tc>
        <w:tc>
          <w:tcPr>
            <w:tcW w:w="3178" w:type="dxa"/>
          </w:tcPr>
          <w:p w:rsidR="003E6A45" w:rsidRPr="00D046A8" w:rsidRDefault="003E6A45" w:rsidP="00D10D26">
            <w:pPr>
              <w:pStyle w:val="Heading7"/>
              <w:jc w:val="both"/>
              <w:rPr>
                <w:rFonts w:ascii="Arial" w:hAnsi="Arial"/>
                <w:szCs w:val="24"/>
                <w:u w:val="none"/>
              </w:rPr>
            </w:pPr>
          </w:p>
        </w:tc>
      </w:tr>
      <w:tr w:rsidR="003E6A45" w:rsidRPr="00D046A8">
        <w:tc>
          <w:tcPr>
            <w:tcW w:w="3227" w:type="dxa"/>
          </w:tcPr>
          <w:p w:rsidR="00AB0A2A" w:rsidRPr="00D046A8" w:rsidRDefault="00AB0A2A" w:rsidP="00D10D26">
            <w:pPr>
              <w:jc w:val="both"/>
              <w:rPr>
                <w:szCs w:val="24"/>
              </w:rPr>
            </w:pPr>
          </w:p>
        </w:tc>
        <w:tc>
          <w:tcPr>
            <w:tcW w:w="2775" w:type="dxa"/>
          </w:tcPr>
          <w:p w:rsidR="007F1D73" w:rsidRPr="00D046A8" w:rsidRDefault="007F1D73" w:rsidP="00D10D26">
            <w:pPr>
              <w:jc w:val="both"/>
              <w:rPr>
                <w:szCs w:val="24"/>
              </w:rPr>
            </w:pPr>
          </w:p>
        </w:tc>
        <w:tc>
          <w:tcPr>
            <w:tcW w:w="3178" w:type="dxa"/>
          </w:tcPr>
          <w:p w:rsidR="007F1D73" w:rsidRPr="00D046A8" w:rsidRDefault="007F1D73" w:rsidP="00D10D26">
            <w:pPr>
              <w:jc w:val="both"/>
              <w:rPr>
                <w:szCs w:val="24"/>
              </w:rPr>
            </w:pPr>
          </w:p>
        </w:tc>
      </w:tr>
      <w:tr w:rsidR="003E6A45" w:rsidRPr="00D046A8">
        <w:tc>
          <w:tcPr>
            <w:tcW w:w="9180" w:type="dxa"/>
            <w:gridSpan w:val="3"/>
          </w:tcPr>
          <w:p w:rsidR="003E6A45" w:rsidRDefault="003E6A45" w:rsidP="00D10D26">
            <w:pPr>
              <w:jc w:val="both"/>
              <w:rPr>
                <w:b/>
                <w:szCs w:val="24"/>
              </w:rPr>
            </w:pPr>
            <w:r w:rsidRPr="007C744E">
              <w:rPr>
                <w:b/>
                <w:szCs w:val="24"/>
              </w:rPr>
              <w:t>Reason for inclusion in Part II, if appropriate</w:t>
            </w:r>
          </w:p>
          <w:p w:rsidR="000366E2" w:rsidRPr="007C744E" w:rsidRDefault="000366E2" w:rsidP="00D10D26">
            <w:pPr>
              <w:jc w:val="both"/>
              <w:rPr>
                <w:b/>
                <w:szCs w:val="24"/>
              </w:rPr>
            </w:pPr>
          </w:p>
          <w:p w:rsidR="003E6A45" w:rsidRPr="00D046A8" w:rsidRDefault="000366E2" w:rsidP="00D10D26">
            <w:pPr>
              <w:jc w:val="both"/>
              <w:rPr>
                <w:szCs w:val="24"/>
              </w:rPr>
            </w:pPr>
            <w:r>
              <w:rPr>
                <w:szCs w:val="24"/>
              </w:rPr>
              <w:t>N/A</w:t>
            </w:r>
          </w:p>
          <w:p w:rsidR="003E6A45" w:rsidRPr="00D046A8" w:rsidRDefault="003E6A45" w:rsidP="00D10D26">
            <w:pPr>
              <w:jc w:val="both"/>
              <w:rPr>
                <w:szCs w:val="24"/>
              </w:rPr>
            </w:pPr>
          </w:p>
          <w:p w:rsidR="003E6A45" w:rsidRPr="00D046A8" w:rsidRDefault="003E6A45" w:rsidP="00D10D26">
            <w:pPr>
              <w:jc w:val="both"/>
              <w:rPr>
                <w:szCs w:val="24"/>
              </w:rPr>
            </w:pPr>
          </w:p>
        </w:tc>
      </w:tr>
    </w:tbl>
    <w:p w:rsidR="00B25BE0" w:rsidRPr="00B25BE0" w:rsidRDefault="00B25BE0" w:rsidP="00857AEA">
      <w:pPr>
        <w:jc w:val="both"/>
        <w:rPr>
          <w:b/>
        </w:rPr>
      </w:pPr>
    </w:p>
    <w:sectPr w:rsidR="00B25BE0" w:rsidRPr="00B25BE0" w:rsidSect="0022234F">
      <w:footerReference w:type="default" r:id="rId9"/>
      <w:footerReference w:type="first" r:id="rId10"/>
      <w:type w:val="continuous"/>
      <w:pgSz w:w="11907" w:h="16840" w:code="9"/>
      <w:pgMar w:top="1440" w:right="1440" w:bottom="1276"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6B" w:rsidRDefault="00CA1D6B">
      <w:r>
        <w:separator/>
      </w:r>
    </w:p>
  </w:endnote>
  <w:endnote w:type="continuationSeparator" w:id="0">
    <w:p w:rsidR="00CA1D6B" w:rsidRDefault="00CA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56656">
      <w:tc>
        <w:tcPr>
          <w:tcW w:w="9243" w:type="dxa"/>
          <w:tcBorders>
            <w:top w:val="nil"/>
            <w:left w:val="nil"/>
            <w:bottom w:val="nil"/>
            <w:right w:val="nil"/>
          </w:tcBorders>
        </w:tcPr>
        <w:p w:rsidR="00256656" w:rsidRDefault="00256656">
          <w:pPr>
            <w:pStyle w:val="Footer"/>
            <w:tabs>
              <w:tab w:val="clear" w:pos="4153"/>
            </w:tabs>
            <w:ind w:right="-45"/>
            <w:jc w:val="right"/>
          </w:pPr>
        </w:p>
      </w:tc>
    </w:tr>
  </w:tbl>
  <w:p w:rsidR="00256656" w:rsidRDefault="0025665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56656">
      <w:tc>
        <w:tcPr>
          <w:tcW w:w="9243" w:type="dxa"/>
          <w:tcBorders>
            <w:top w:val="nil"/>
            <w:left w:val="nil"/>
            <w:bottom w:val="nil"/>
            <w:right w:val="nil"/>
          </w:tcBorders>
        </w:tcPr>
        <w:p w:rsidR="00256656" w:rsidRDefault="00857AEA">
          <w:pPr>
            <w:pStyle w:val="Footer"/>
            <w:tabs>
              <w:tab w:val="clear" w:pos="4153"/>
            </w:tabs>
            <w:ind w:right="-45"/>
            <w:jc w:val="right"/>
          </w:pPr>
          <w:r>
            <w:rPr>
              <w:noProof/>
            </w:rPr>
            <w:drawing>
              <wp:inline distT="0" distB="0" distL="0" distR="0">
                <wp:extent cx="1257300" cy="624840"/>
                <wp:effectExtent l="0" t="0" r="0" b="381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4840"/>
                        </a:xfrm>
                        <a:prstGeom prst="rect">
                          <a:avLst/>
                        </a:prstGeom>
                        <a:noFill/>
                        <a:ln>
                          <a:noFill/>
                        </a:ln>
                      </pic:spPr>
                    </pic:pic>
                  </a:graphicData>
                </a:graphic>
              </wp:inline>
            </w:drawing>
          </w:r>
        </w:p>
      </w:tc>
    </w:tr>
  </w:tbl>
  <w:p w:rsidR="00256656" w:rsidRDefault="002566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6B" w:rsidRDefault="00CA1D6B">
      <w:r>
        <w:separator/>
      </w:r>
    </w:p>
  </w:footnote>
  <w:footnote w:type="continuationSeparator" w:id="0">
    <w:p w:rsidR="00CA1D6B" w:rsidRDefault="00CA1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A445C"/>
    <w:multiLevelType w:val="hybridMultilevel"/>
    <w:tmpl w:val="AF7001FC"/>
    <w:lvl w:ilvl="0" w:tplc="885CCF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9123D"/>
    <w:multiLevelType w:val="hybridMultilevel"/>
    <w:tmpl w:val="D9C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1585D"/>
    <w:multiLevelType w:val="hybridMultilevel"/>
    <w:tmpl w:val="553C7A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541E95"/>
    <w:multiLevelType w:val="hybridMultilevel"/>
    <w:tmpl w:val="CC32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078B9"/>
    <w:multiLevelType w:val="hybridMultilevel"/>
    <w:tmpl w:val="401E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EB6557"/>
    <w:multiLevelType w:val="hybridMultilevel"/>
    <w:tmpl w:val="779C3E4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75E4675"/>
    <w:multiLevelType w:val="hybridMultilevel"/>
    <w:tmpl w:val="6FFA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A1A0E"/>
    <w:multiLevelType w:val="hybridMultilevel"/>
    <w:tmpl w:val="811A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521A8A"/>
    <w:multiLevelType w:val="hybridMultilevel"/>
    <w:tmpl w:val="98649BE6"/>
    <w:lvl w:ilvl="0" w:tplc="68E0EA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9C008F"/>
    <w:multiLevelType w:val="hybridMultilevel"/>
    <w:tmpl w:val="0F0EF7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2A17D9A"/>
    <w:multiLevelType w:val="hybridMultilevel"/>
    <w:tmpl w:val="A83483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66214541"/>
    <w:multiLevelType w:val="hybridMultilevel"/>
    <w:tmpl w:val="405E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A548E5"/>
    <w:multiLevelType w:val="hybridMultilevel"/>
    <w:tmpl w:val="CE1219FA"/>
    <w:lvl w:ilvl="0" w:tplc="BA56EB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C771C6"/>
    <w:multiLevelType w:val="hybridMultilevel"/>
    <w:tmpl w:val="116E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C223C7"/>
    <w:multiLevelType w:val="hybridMultilevel"/>
    <w:tmpl w:val="9A58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646965"/>
    <w:multiLevelType w:val="hybridMultilevel"/>
    <w:tmpl w:val="DEE0F50E"/>
    <w:lvl w:ilvl="0" w:tplc="2E2E0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B937C6"/>
    <w:multiLevelType w:val="hybridMultilevel"/>
    <w:tmpl w:val="DC4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2"/>
  </w:num>
  <w:num w:numId="5">
    <w:abstractNumId w:val="15"/>
  </w:num>
  <w:num w:numId="6">
    <w:abstractNumId w:val="3"/>
  </w:num>
  <w:num w:numId="7">
    <w:abstractNumId w:val="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 w:numId="12">
    <w:abstractNumId w:val="2"/>
  </w:num>
  <w:num w:numId="13">
    <w:abstractNumId w:val="16"/>
  </w:num>
  <w:num w:numId="14">
    <w:abstractNumId w:val="14"/>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4189"/>
    <w:rsid w:val="000053B6"/>
    <w:rsid w:val="00023F7F"/>
    <w:rsid w:val="0003380E"/>
    <w:rsid w:val="00036417"/>
    <w:rsid w:val="000366E2"/>
    <w:rsid w:val="0005199C"/>
    <w:rsid w:val="00073AAC"/>
    <w:rsid w:val="00075385"/>
    <w:rsid w:val="000A4C3B"/>
    <w:rsid w:val="000D554D"/>
    <w:rsid w:val="000E5C7F"/>
    <w:rsid w:val="000F092D"/>
    <w:rsid w:val="0017428E"/>
    <w:rsid w:val="001873FB"/>
    <w:rsid w:val="001A1E48"/>
    <w:rsid w:val="001E3608"/>
    <w:rsid w:val="001F7A52"/>
    <w:rsid w:val="002121B1"/>
    <w:rsid w:val="0022234F"/>
    <w:rsid w:val="00256656"/>
    <w:rsid w:val="00265C0B"/>
    <w:rsid w:val="002666D0"/>
    <w:rsid w:val="0028461B"/>
    <w:rsid w:val="00293B53"/>
    <w:rsid w:val="002B11AF"/>
    <w:rsid w:val="002F51E3"/>
    <w:rsid w:val="00301BC2"/>
    <w:rsid w:val="0031079F"/>
    <w:rsid w:val="00317DBE"/>
    <w:rsid w:val="003230EE"/>
    <w:rsid w:val="003302D1"/>
    <w:rsid w:val="00344C53"/>
    <w:rsid w:val="00345CE1"/>
    <w:rsid w:val="00354CAC"/>
    <w:rsid w:val="00357954"/>
    <w:rsid w:val="00366E50"/>
    <w:rsid w:val="003700D4"/>
    <w:rsid w:val="0039200A"/>
    <w:rsid w:val="003A4933"/>
    <w:rsid w:val="003C377C"/>
    <w:rsid w:val="003E6752"/>
    <w:rsid w:val="003E6A45"/>
    <w:rsid w:val="00425DE5"/>
    <w:rsid w:val="0044710C"/>
    <w:rsid w:val="004479E5"/>
    <w:rsid w:val="00455D06"/>
    <w:rsid w:val="00463D79"/>
    <w:rsid w:val="00464271"/>
    <w:rsid w:val="00491A57"/>
    <w:rsid w:val="004D0C5F"/>
    <w:rsid w:val="004D795F"/>
    <w:rsid w:val="004E6D40"/>
    <w:rsid w:val="00551798"/>
    <w:rsid w:val="00561585"/>
    <w:rsid w:val="0057657D"/>
    <w:rsid w:val="00581BB4"/>
    <w:rsid w:val="005D75ED"/>
    <w:rsid w:val="005E3F1E"/>
    <w:rsid w:val="005F51BE"/>
    <w:rsid w:val="005F7301"/>
    <w:rsid w:val="00605424"/>
    <w:rsid w:val="00612E27"/>
    <w:rsid w:val="00621B00"/>
    <w:rsid w:val="00643566"/>
    <w:rsid w:val="00644FDF"/>
    <w:rsid w:val="00650F23"/>
    <w:rsid w:val="006A5A78"/>
    <w:rsid w:val="006F1D5C"/>
    <w:rsid w:val="00734B49"/>
    <w:rsid w:val="0075547F"/>
    <w:rsid w:val="00756D11"/>
    <w:rsid w:val="00766202"/>
    <w:rsid w:val="00766237"/>
    <w:rsid w:val="0077090C"/>
    <w:rsid w:val="00770F2F"/>
    <w:rsid w:val="00772BBA"/>
    <w:rsid w:val="007806FA"/>
    <w:rsid w:val="007B73C6"/>
    <w:rsid w:val="007C744E"/>
    <w:rsid w:val="007D0426"/>
    <w:rsid w:val="007E7A9F"/>
    <w:rsid w:val="007F0B84"/>
    <w:rsid w:val="007F12C8"/>
    <w:rsid w:val="007F1D73"/>
    <w:rsid w:val="007F4D5F"/>
    <w:rsid w:val="00835B5D"/>
    <w:rsid w:val="00840939"/>
    <w:rsid w:val="00857AEA"/>
    <w:rsid w:val="00867201"/>
    <w:rsid w:val="00874209"/>
    <w:rsid w:val="008A5E88"/>
    <w:rsid w:val="00967DF1"/>
    <w:rsid w:val="009775B3"/>
    <w:rsid w:val="00983442"/>
    <w:rsid w:val="009B3418"/>
    <w:rsid w:val="009B61F1"/>
    <w:rsid w:val="009F05A6"/>
    <w:rsid w:val="009F4716"/>
    <w:rsid w:val="00A071FE"/>
    <w:rsid w:val="00A325DA"/>
    <w:rsid w:val="00A51F08"/>
    <w:rsid w:val="00A52271"/>
    <w:rsid w:val="00AA3C6F"/>
    <w:rsid w:val="00AB0A2A"/>
    <w:rsid w:val="00AD4DD4"/>
    <w:rsid w:val="00B04D0B"/>
    <w:rsid w:val="00B25BE0"/>
    <w:rsid w:val="00B31851"/>
    <w:rsid w:val="00B67789"/>
    <w:rsid w:val="00B70643"/>
    <w:rsid w:val="00B90B7B"/>
    <w:rsid w:val="00B96109"/>
    <w:rsid w:val="00BA2E81"/>
    <w:rsid w:val="00BB08CC"/>
    <w:rsid w:val="00BE2B28"/>
    <w:rsid w:val="00BF37BC"/>
    <w:rsid w:val="00C20DC0"/>
    <w:rsid w:val="00C34F6E"/>
    <w:rsid w:val="00C36653"/>
    <w:rsid w:val="00C47BC9"/>
    <w:rsid w:val="00C61D79"/>
    <w:rsid w:val="00C9077F"/>
    <w:rsid w:val="00CA08BB"/>
    <w:rsid w:val="00CA1D6B"/>
    <w:rsid w:val="00CB176A"/>
    <w:rsid w:val="00CD5239"/>
    <w:rsid w:val="00CE7ADF"/>
    <w:rsid w:val="00D046A8"/>
    <w:rsid w:val="00D10D26"/>
    <w:rsid w:val="00D21DE9"/>
    <w:rsid w:val="00D418B2"/>
    <w:rsid w:val="00D45880"/>
    <w:rsid w:val="00D56536"/>
    <w:rsid w:val="00D77C39"/>
    <w:rsid w:val="00D95448"/>
    <w:rsid w:val="00DA11AD"/>
    <w:rsid w:val="00DD6D9C"/>
    <w:rsid w:val="00E12100"/>
    <w:rsid w:val="00E73859"/>
    <w:rsid w:val="00E77071"/>
    <w:rsid w:val="00EA3FDC"/>
    <w:rsid w:val="00EA45E5"/>
    <w:rsid w:val="00EB318C"/>
    <w:rsid w:val="00EB621A"/>
    <w:rsid w:val="00EC5A94"/>
    <w:rsid w:val="00ED0965"/>
    <w:rsid w:val="00EE09DF"/>
    <w:rsid w:val="00EE1656"/>
    <w:rsid w:val="00EF0A79"/>
    <w:rsid w:val="00F237B8"/>
    <w:rsid w:val="00F2427C"/>
    <w:rsid w:val="00F24775"/>
    <w:rsid w:val="00F31E36"/>
    <w:rsid w:val="00F34A5F"/>
    <w:rsid w:val="00F437A2"/>
    <w:rsid w:val="00F5225C"/>
    <w:rsid w:val="00F611BA"/>
    <w:rsid w:val="00F7182E"/>
    <w:rsid w:val="00F96351"/>
    <w:rsid w:val="00F973F0"/>
    <w:rsid w:val="00FB45D4"/>
    <w:rsid w:val="00FD2DD8"/>
    <w:rsid w:val="00FE20D8"/>
    <w:rsid w:val="00FE37DD"/>
    <w:rsid w:val="00FE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35A53E-1614-4F6D-8C62-8BF62809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customStyle="1" w:styleId="arial11">
    <w:name w:val="arial11"/>
    <w:basedOn w:val="Normal"/>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357954"/>
    <w:rPr>
      <w:rFonts w:ascii="Tahoma" w:hAnsi="Tahoma" w:cs="Tahoma"/>
      <w:sz w:val="16"/>
      <w:szCs w:val="16"/>
    </w:rPr>
  </w:style>
  <w:style w:type="paragraph" w:styleId="ListParagraph">
    <w:name w:val="List Paragraph"/>
    <w:basedOn w:val="Normal"/>
    <w:uiPriority w:val="34"/>
    <w:qFormat/>
    <w:rsid w:val="00F237B8"/>
    <w:pPr>
      <w:ind w:left="720"/>
      <w:contextualSpacing/>
    </w:pPr>
  </w:style>
  <w:style w:type="character" w:styleId="Hyperlink">
    <w:name w:val="Hyperlink"/>
    <w:uiPriority w:val="99"/>
    <w:unhideWhenUsed/>
    <w:rsid w:val="003E6752"/>
    <w:rPr>
      <w:color w:val="0000FF"/>
      <w:u w:val="single"/>
    </w:rPr>
  </w:style>
  <w:style w:type="character" w:styleId="FollowedHyperlink">
    <w:name w:val="FollowedHyperlink"/>
    <w:uiPriority w:val="99"/>
    <w:semiHidden/>
    <w:unhideWhenUsed/>
    <w:rsid w:val="00023F7F"/>
    <w:rPr>
      <w:color w:val="800080"/>
      <w:u w:val="single"/>
    </w:rPr>
  </w:style>
  <w:style w:type="paragraph" w:styleId="PlainText">
    <w:name w:val="Plain Text"/>
    <w:basedOn w:val="Normal"/>
    <w:link w:val="PlainTextChar"/>
    <w:uiPriority w:val="99"/>
    <w:semiHidden/>
    <w:unhideWhenUsed/>
    <w:rsid w:val="00D046A8"/>
    <w:rPr>
      <w:rFonts w:ascii="Consolas" w:eastAsia="Calibri" w:hAnsi="Consolas"/>
      <w:sz w:val="21"/>
      <w:szCs w:val="21"/>
      <w:lang w:val="x-none" w:eastAsia="x-none"/>
    </w:rPr>
  </w:style>
  <w:style w:type="character" w:customStyle="1" w:styleId="PlainTextChar">
    <w:name w:val="Plain Text Char"/>
    <w:link w:val="PlainText"/>
    <w:uiPriority w:val="99"/>
    <w:semiHidden/>
    <w:rsid w:val="00D046A8"/>
    <w:rPr>
      <w:rFonts w:ascii="Consolas" w:eastAsia="Calibri" w:hAnsi="Consolas"/>
      <w:sz w:val="21"/>
      <w:szCs w:val="21"/>
    </w:rPr>
  </w:style>
  <w:style w:type="paragraph" w:styleId="NormalWeb">
    <w:name w:val="Normal (Web)"/>
    <w:basedOn w:val="Normal"/>
    <w:uiPriority w:val="99"/>
    <w:unhideWhenUsed/>
    <w:rsid w:val="003700D4"/>
    <w:pPr>
      <w:spacing w:before="100" w:beforeAutospacing="1" w:after="100" w:afterAutospacing="1"/>
    </w:pPr>
    <w:rPr>
      <w:rFonts w:ascii="Times New Roman" w:eastAsia="Calibri" w:hAnsi="Times New Roman"/>
      <w:szCs w:val="24"/>
    </w:rPr>
  </w:style>
  <w:style w:type="paragraph" w:styleId="Revision">
    <w:name w:val="Revision"/>
    <w:hidden/>
    <w:uiPriority w:val="99"/>
    <w:semiHidden/>
    <w:rsid w:val="001F7A52"/>
    <w:rPr>
      <w:rFonts w:ascii="Arial" w:hAnsi="Arial"/>
      <w:sz w:val="24"/>
    </w:rPr>
  </w:style>
  <w:style w:type="paragraph" w:customStyle="1" w:styleId="Default">
    <w:name w:val="Default"/>
    <w:rsid w:val="00464271"/>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semiHidden/>
    <w:unhideWhenUsed/>
    <w:rsid w:val="0031079F"/>
    <w:rPr>
      <w:sz w:val="16"/>
      <w:szCs w:val="16"/>
    </w:rPr>
  </w:style>
  <w:style w:type="paragraph" w:styleId="CommentText">
    <w:name w:val="annotation text"/>
    <w:basedOn w:val="Normal"/>
    <w:link w:val="CommentTextChar"/>
    <w:uiPriority w:val="99"/>
    <w:semiHidden/>
    <w:unhideWhenUsed/>
    <w:rsid w:val="0031079F"/>
    <w:rPr>
      <w:sz w:val="20"/>
    </w:rPr>
  </w:style>
  <w:style w:type="character" w:customStyle="1" w:styleId="CommentTextChar">
    <w:name w:val="Comment Text Char"/>
    <w:link w:val="CommentText"/>
    <w:uiPriority w:val="99"/>
    <w:semiHidden/>
    <w:rsid w:val="0031079F"/>
    <w:rPr>
      <w:rFonts w:ascii="Arial" w:hAnsi="Arial"/>
    </w:rPr>
  </w:style>
  <w:style w:type="paragraph" w:styleId="CommentSubject">
    <w:name w:val="annotation subject"/>
    <w:basedOn w:val="CommentText"/>
    <w:next w:val="CommentText"/>
    <w:link w:val="CommentSubjectChar"/>
    <w:uiPriority w:val="99"/>
    <w:semiHidden/>
    <w:unhideWhenUsed/>
    <w:rsid w:val="0031079F"/>
    <w:rPr>
      <w:b/>
      <w:bCs/>
    </w:rPr>
  </w:style>
  <w:style w:type="character" w:customStyle="1" w:styleId="CommentSubjectChar">
    <w:name w:val="Comment Subject Char"/>
    <w:link w:val="CommentSubject"/>
    <w:uiPriority w:val="99"/>
    <w:semiHidden/>
    <w:rsid w:val="0031079F"/>
    <w:rPr>
      <w:rFonts w:ascii="Arial" w:hAnsi="Arial"/>
      <w:b/>
      <w:bCs/>
    </w:rPr>
  </w:style>
  <w:style w:type="paragraph" w:styleId="FootnoteText">
    <w:name w:val="footnote text"/>
    <w:basedOn w:val="Normal"/>
    <w:link w:val="FootnoteTextChar"/>
    <w:uiPriority w:val="99"/>
    <w:semiHidden/>
    <w:unhideWhenUsed/>
    <w:rsid w:val="00D10D26"/>
    <w:rPr>
      <w:sz w:val="20"/>
    </w:rPr>
  </w:style>
  <w:style w:type="character" w:customStyle="1" w:styleId="FootnoteTextChar">
    <w:name w:val="Footnote Text Char"/>
    <w:basedOn w:val="DefaultParagraphFont"/>
    <w:link w:val="FootnoteText"/>
    <w:uiPriority w:val="99"/>
    <w:semiHidden/>
    <w:rsid w:val="00D10D26"/>
    <w:rPr>
      <w:rFonts w:ascii="Arial" w:hAnsi="Arial"/>
    </w:rPr>
  </w:style>
  <w:style w:type="character" w:styleId="FootnoteReference">
    <w:name w:val="footnote reference"/>
    <w:basedOn w:val="DefaultParagraphFont"/>
    <w:uiPriority w:val="99"/>
    <w:semiHidden/>
    <w:unhideWhenUsed/>
    <w:rsid w:val="00D10D26"/>
    <w:rPr>
      <w:vertAlign w:val="superscript"/>
    </w:rPr>
  </w:style>
  <w:style w:type="table" w:styleId="TableGrid">
    <w:name w:val="Table Grid"/>
    <w:basedOn w:val="TableNormal"/>
    <w:uiPriority w:val="59"/>
    <w:rsid w:val="007F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stott@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FB97-95F4-4156-A6C5-4F8ADCB3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45</TotalTime>
  <Pages>5</Pages>
  <Words>1142</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7307</CharactersWithSpaces>
  <SharedDoc>false</SharedDoc>
  <HLinks>
    <vt:vector size="6" baseType="variant">
      <vt:variant>
        <vt:i4>7798866</vt:i4>
      </vt:variant>
      <vt:variant>
        <vt:i4>0</vt:i4>
      </vt:variant>
      <vt:variant>
        <vt:i4>0</vt:i4>
      </vt:variant>
      <vt:variant>
        <vt:i4>5</vt:i4>
      </vt:variant>
      <vt:variant>
        <vt:lpwstr>mailto:bob.stott@lancashire.gov.uk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Mulligan, Janet</cp:lastModifiedBy>
  <cp:revision>6</cp:revision>
  <cp:lastPrinted>2014-02-26T09:27:00Z</cp:lastPrinted>
  <dcterms:created xsi:type="dcterms:W3CDTF">2015-07-08T14:22:00Z</dcterms:created>
  <dcterms:modified xsi:type="dcterms:W3CDTF">2015-07-13T10:41:00Z</dcterms:modified>
</cp:coreProperties>
</file>